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75EE0" w14:textId="77777777" w:rsidR="00947741" w:rsidRPr="00947741" w:rsidRDefault="00947741" w:rsidP="00947741">
      <w:pPr>
        <w:spacing w:line="360" w:lineRule="auto"/>
        <w:jc w:val="both"/>
        <w:rPr>
          <w:b/>
          <w:bCs/>
          <w:i/>
        </w:rPr>
      </w:pPr>
      <w:bookmarkStart w:id="0" w:name="_Toc207181389"/>
      <w:bookmarkStart w:id="1" w:name="_Toc208202811"/>
      <w:r w:rsidRPr="00947741">
        <w:rPr>
          <w:b/>
          <w:bCs/>
          <w:i/>
        </w:rPr>
        <w:t>NOTAS DE LOS ESTADOS FINANCIEROS</w:t>
      </w:r>
    </w:p>
    <w:p w14:paraId="32E75EE1" w14:textId="77777777" w:rsidR="00947741" w:rsidRPr="00947741" w:rsidRDefault="00947741" w:rsidP="00947741">
      <w:pPr>
        <w:spacing w:line="360" w:lineRule="auto"/>
        <w:jc w:val="both"/>
        <w:rPr>
          <w:bCs/>
          <w:i/>
          <w:sz w:val="12"/>
          <w:szCs w:val="12"/>
        </w:rPr>
      </w:pPr>
    </w:p>
    <w:p w14:paraId="32E75EE2" w14:textId="77777777" w:rsidR="00947741" w:rsidRPr="00947741" w:rsidRDefault="00947741" w:rsidP="00947741">
      <w:pPr>
        <w:spacing w:line="360" w:lineRule="auto"/>
        <w:jc w:val="both"/>
        <w:rPr>
          <w:b/>
          <w:bCs/>
          <w:i/>
        </w:rPr>
      </w:pPr>
      <w:r w:rsidRPr="00947741">
        <w:rPr>
          <w:b/>
          <w:bCs/>
          <w:i/>
        </w:rPr>
        <w:t xml:space="preserve">Nota 1: Entidad Económica.  </w:t>
      </w:r>
    </w:p>
    <w:p w14:paraId="32E75EE3" w14:textId="7FE84A66" w:rsidR="00947741" w:rsidRPr="00947741" w:rsidRDefault="00947741" w:rsidP="00947741">
      <w:pPr>
        <w:spacing w:line="360" w:lineRule="auto"/>
        <w:jc w:val="both"/>
        <w:rPr>
          <w:bCs/>
          <w:i/>
        </w:rPr>
      </w:pPr>
      <w:r w:rsidRPr="00947741">
        <w:rPr>
          <w:bCs/>
          <w:i/>
        </w:rPr>
        <w:t xml:space="preserve">La Superintendencia de Pensiones entidad estatal autónoma, supervisora del sistema previsional, creada </w:t>
      </w:r>
      <w:r w:rsidR="00A321C2" w:rsidRPr="00947741">
        <w:rPr>
          <w:bCs/>
          <w:i/>
        </w:rPr>
        <w:t>de conformidad</w:t>
      </w:r>
      <w:r w:rsidRPr="00947741">
        <w:rPr>
          <w:bCs/>
          <w:i/>
        </w:rPr>
        <w:t xml:space="preserve"> con la Ley 87-01 de fecha 09 de </w:t>
      </w:r>
      <w:proofErr w:type="gramStart"/>
      <w:r w:rsidRPr="00947741">
        <w:rPr>
          <w:bCs/>
          <w:i/>
        </w:rPr>
        <w:t>Junio</w:t>
      </w:r>
      <w:proofErr w:type="gramEnd"/>
      <w:r w:rsidRPr="00947741">
        <w:rPr>
          <w:bCs/>
          <w:i/>
        </w:rPr>
        <w:t xml:space="preserve"> de 2001, con su domicilio y asiento social establecido en el número 30 de la Av. México, Sector Gazcue de esta ciudad de Santo Domingo, D. N. </w:t>
      </w:r>
    </w:p>
    <w:p w14:paraId="32E75EE4" w14:textId="77777777" w:rsidR="00947741" w:rsidRPr="00947741" w:rsidRDefault="00947741" w:rsidP="00947741">
      <w:pPr>
        <w:spacing w:line="360" w:lineRule="auto"/>
        <w:jc w:val="both"/>
        <w:rPr>
          <w:b/>
          <w:bCs/>
          <w:i/>
          <w:iCs/>
          <w:sz w:val="12"/>
          <w:szCs w:val="12"/>
        </w:rPr>
      </w:pPr>
    </w:p>
    <w:p w14:paraId="32E75EE5" w14:textId="77777777" w:rsidR="00947741" w:rsidRPr="00947741" w:rsidRDefault="00947741" w:rsidP="00947741">
      <w:pPr>
        <w:spacing w:line="360" w:lineRule="auto"/>
        <w:jc w:val="both"/>
        <w:rPr>
          <w:b/>
          <w:bCs/>
          <w:i/>
        </w:rPr>
      </w:pPr>
      <w:bookmarkStart w:id="2" w:name="_Toc208202776"/>
      <w:bookmarkStart w:id="3" w:name="_Toc207181354"/>
      <w:bookmarkStart w:id="4" w:name="_Toc191191201"/>
      <w:bookmarkStart w:id="5" w:name="_Toc180760079"/>
      <w:bookmarkStart w:id="6" w:name="_Toc155686837"/>
      <w:r w:rsidRPr="00947741">
        <w:rPr>
          <w:b/>
          <w:bCs/>
          <w:i/>
        </w:rPr>
        <w:t>Nota 2: Base de preparación de los Estados Financieros</w:t>
      </w:r>
      <w:bookmarkEnd w:id="2"/>
      <w:bookmarkEnd w:id="3"/>
      <w:bookmarkEnd w:id="4"/>
      <w:bookmarkEnd w:id="5"/>
    </w:p>
    <w:p w14:paraId="32E75EE6" w14:textId="77777777" w:rsidR="00947741" w:rsidRPr="00947741" w:rsidRDefault="00947741" w:rsidP="00947741">
      <w:pPr>
        <w:spacing w:line="360" w:lineRule="auto"/>
        <w:jc w:val="both"/>
        <w:rPr>
          <w:bCs/>
          <w:i/>
        </w:rPr>
      </w:pPr>
      <w:r w:rsidRPr="00947741">
        <w:rPr>
          <w:bCs/>
          <w:i/>
        </w:rPr>
        <w:t>La formulación de los Estados Financieros, de los cuales forman parte las presentes Notas, se basan fundamentalmente, en la normativa contable emitida por la Dirección General de Contabilidad Gubernamental, y hasta donde es posible su aplicación, en las Normas Internacionales de Contabilidad para el Sector Público (NICSP).</w:t>
      </w:r>
    </w:p>
    <w:p w14:paraId="32E75EE7" w14:textId="77777777" w:rsidR="00947741" w:rsidRPr="00947741" w:rsidRDefault="00947741" w:rsidP="00947741">
      <w:pPr>
        <w:spacing w:line="360" w:lineRule="auto"/>
        <w:jc w:val="both"/>
        <w:rPr>
          <w:b/>
          <w:bCs/>
          <w:i/>
          <w:sz w:val="12"/>
          <w:szCs w:val="12"/>
        </w:rPr>
      </w:pPr>
    </w:p>
    <w:p w14:paraId="32E75EE8" w14:textId="35D42E2D" w:rsidR="00947741" w:rsidRPr="00947741" w:rsidRDefault="00947741" w:rsidP="00947741">
      <w:pPr>
        <w:spacing w:line="360" w:lineRule="auto"/>
        <w:jc w:val="both"/>
        <w:rPr>
          <w:bCs/>
          <w:i/>
        </w:rPr>
      </w:pPr>
      <w:r w:rsidRPr="00947741">
        <w:rPr>
          <w:bCs/>
          <w:i/>
        </w:rPr>
        <w:t xml:space="preserve">Los Estados Financieros del Gobierno Central, las Instituciones descentralizadas, </w:t>
      </w:r>
      <w:proofErr w:type="gramStart"/>
      <w:r w:rsidRPr="00947741">
        <w:rPr>
          <w:bCs/>
          <w:i/>
        </w:rPr>
        <w:t>Autónomas  y</w:t>
      </w:r>
      <w:proofErr w:type="gramEnd"/>
      <w:r w:rsidRPr="00947741">
        <w:rPr>
          <w:bCs/>
          <w:i/>
        </w:rPr>
        <w:t xml:space="preserve"> de la Seguridad Social están elaborados de conformidad con la ley 126-01, su Reglamento de Aplicación y las Normas de Cierre, emitidas por la Dirección General de Contabilidad Gubernamental (DIGECOG) para el mes de </w:t>
      </w:r>
      <w:r>
        <w:rPr>
          <w:bCs/>
          <w:i/>
        </w:rPr>
        <w:t>Diciembre</w:t>
      </w:r>
      <w:r w:rsidRPr="00947741">
        <w:rPr>
          <w:bCs/>
          <w:i/>
        </w:rPr>
        <w:t xml:space="preserve"> 20</w:t>
      </w:r>
      <w:r w:rsidR="001340BA">
        <w:rPr>
          <w:bCs/>
          <w:i/>
        </w:rPr>
        <w:t>2</w:t>
      </w:r>
      <w:r w:rsidR="00B20A02">
        <w:rPr>
          <w:bCs/>
          <w:i/>
        </w:rPr>
        <w:t>2</w:t>
      </w:r>
      <w:r w:rsidRPr="00947741">
        <w:rPr>
          <w:bCs/>
          <w:i/>
        </w:rPr>
        <w:t>.</w:t>
      </w:r>
    </w:p>
    <w:p w14:paraId="32E75EE9" w14:textId="77777777" w:rsidR="00947741" w:rsidRPr="00947741" w:rsidRDefault="00947741" w:rsidP="00947741">
      <w:pPr>
        <w:spacing w:line="360" w:lineRule="auto"/>
        <w:jc w:val="both"/>
        <w:rPr>
          <w:bCs/>
          <w:i/>
          <w:sz w:val="12"/>
          <w:szCs w:val="12"/>
        </w:rPr>
      </w:pPr>
    </w:p>
    <w:p w14:paraId="32E75EEA" w14:textId="77777777" w:rsidR="00947741" w:rsidRPr="00947741" w:rsidRDefault="00947741" w:rsidP="00947741">
      <w:pPr>
        <w:spacing w:line="360" w:lineRule="auto"/>
        <w:jc w:val="both"/>
        <w:rPr>
          <w:b/>
          <w:bCs/>
          <w:i/>
        </w:rPr>
      </w:pPr>
      <w:r w:rsidRPr="00947741">
        <w:rPr>
          <w:b/>
          <w:bCs/>
          <w:i/>
        </w:rPr>
        <w:t>Nota 3: Moneda Funcional</w:t>
      </w:r>
    </w:p>
    <w:p w14:paraId="32E75EEB" w14:textId="77777777" w:rsidR="00947741" w:rsidRPr="00947741" w:rsidRDefault="00947741" w:rsidP="00947741">
      <w:pPr>
        <w:spacing w:line="360" w:lineRule="auto"/>
        <w:jc w:val="both"/>
        <w:rPr>
          <w:bCs/>
          <w:i/>
        </w:rPr>
      </w:pPr>
      <w:r w:rsidRPr="00947741">
        <w:rPr>
          <w:bCs/>
          <w:i/>
        </w:rPr>
        <w:t>La moneda funcional de la Entidad es peso dominicano (RD$), por lo que todas las cifras presentadas en el presente informe están expresadas en dicha moneda.</w:t>
      </w:r>
    </w:p>
    <w:p w14:paraId="32E75EEC" w14:textId="77777777" w:rsidR="00947741" w:rsidRPr="00947741" w:rsidRDefault="00947741" w:rsidP="00947741">
      <w:pPr>
        <w:spacing w:line="360" w:lineRule="auto"/>
        <w:jc w:val="both"/>
        <w:rPr>
          <w:bCs/>
          <w:i/>
          <w:sz w:val="12"/>
          <w:szCs w:val="12"/>
        </w:rPr>
      </w:pPr>
    </w:p>
    <w:p w14:paraId="32E75EED" w14:textId="77777777" w:rsidR="00947741" w:rsidRPr="00947741" w:rsidRDefault="00947741" w:rsidP="00947741">
      <w:pPr>
        <w:spacing w:line="360" w:lineRule="auto"/>
        <w:jc w:val="both"/>
        <w:rPr>
          <w:b/>
          <w:bCs/>
          <w:i/>
        </w:rPr>
      </w:pPr>
      <w:bookmarkStart w:id="7" w:name="_Toc155686850"/>
      <w:bookmarkEnd w:id="6"/>
      <w:r w:rsidRPr="00947741">
        <w:rPr>
          <w:b/>
          <w:bCs/>
          <w:i/>
        </w:rPr>
        <w:t>Nota 4: Uso de estimados y juicios.</w:t>
      </w:r>
    </w:p>
    <w:p w14:paraId="32E75EEE" w14:textId="77777777" w:rsidR="00947741" w:rsidRPr="00947741" w:rsidRDefault="00947741" w:rsidP="00947741">
      <w:pPr>
        <w:spacing w:line="360" w:lineRule="auto"/>
        <w:jc w:val="both"/>
        <w:rPr>
          <w:bCs/>
          <w:i/>
        </w:rPr>
      </w:pPr>
      <w:r w:rsidRPr="00947741">
        <w:rPr>
          <w:bCs/>
          <w:i/>
        </w:rPr>
        <w:t>Los estimados y juicios que pudieran surgir suelen ser basados en las experiencias históricas y otros factores considerados como relevantes. Los resultados reales podrían diferir de dichos estimados y las revisiones a los estimados contables se reconocen en el periodo de la revisión y periodos futuros si la revisión afecta tanto al periodo actual como a periodos subsecuentes.</w:t>
      </w:r>
    </w:p>
    <w:p w14:paraId="32E75EEF" w14:textId="77777777" w:rsidR="00947741" w:rsidRPr="00947741" w:rsidRDefault="00947741" w:rsidP="00947741">
      <w:pPr>
        <w:spacing w:line="360" w:lineRule="auto"/>
        <w:jc w:val="both"/>
        <w:rPr>
          <w:bCs/>
          <w:i/>
          <w:sz w:val="12"/>
          <w:szCs w:val="12"/>
        </w:rPr>
      </w:pPr>
    </w:p>
    <w:p w14:paraId="4D60F06C" w14:textId="77777777" w:rsidR="00017991" w:rsidRDefault="00017991" w:rsidP="00947741">
      <w:pPr>
        <w:spacing w:line="360" w:lineRule="auto"/>
        <w:jc w:val="both"/>
        <w:rPr>
          <w:b/>
          <w:bCs/>
          <w:i/>
        </w:rPr>
      </w:pPr>
      <w:bookmarkStart w:id="8" w:name="_Toc208202794"/>
      <w:bookmarkStart w:id="9" w:name="_Toc207181372"/>
      <w:bookmarkStart w:id="10" w:name="_Toc191191219"/>
      <w:bookmarkStart w:id="11" w:name="_Toc180760097"/>
    </w:p>
    <w:p w14:paraId="25F962AE" w14:textId="77777777" w:rsidR="00017991" w:rsidRDefault="00017991" w:rsidP="00947741">
      <w:pPr>
        <w:spacing w:line="360" w:lineRule="auto"/>
        <w:jc w:val="both"/>
        <w:rPr>
          <w:b/>
          <w:bCs/>
          <w:i/>
        </w:rPr>
      </w:pPr>
    </w:p>
    <w:p w14:paraId="490AAC1B" w14:textId="77777777" w:rsidR="00017991" w:rsidRDefault="00017991" w:rsidP="00947741">
      <w:pPr>
        <w:spacing w:line="360" w:lineRule="auto"/>
        <w:jc w:val="both"/>
        <w:rPr>
          <w:b/>
          <w:bCs/>
          <w:i/>
        </w:rPr>
      </w:pPr>
    </w:p>
    <w:p w14:paraId="32E75EF0" w14:textId="6B4B766A" w:rsidR="00947741" w:rsidRPr="00947741" w:rsidRDefault="00947741" w:rsidP="00947741">
      <w:pPr>
        <w:spacing w:line="360" w:lineRule="auto"/>
        <w:jc w:val="both"/>
        <w:rPr>
          <w:b/>
          <w:bCs/>
          <w:i/>
        </w:rPr>
      </w:pPr>
      <w:r w:rsidRPr="00947741">
        <w:rPr>
          <w:b/>
          <w:bCs/>
          <w:i/>
        </w:rPr>
        <w:lastRenderedPageBreak/>
        <w:t>Nota 5: Base de medición del Activo:</w:t>
      </w:r>
      <w:bookmarkEnd w:id="7"/>
      <w:bookmarkEnd w:id="8"/>
      <w:bookmarkEnd w:id="9"/>
      <w:bookmarkEnd w:id="10"/>
      <w:bookmarkEnd w:id="11"/>
    </w:p>
    <w:p w14:paraId="32E75EF1" w14:textId="1A4A08B8" w:rsidR="00947741" w:rsidRPr="00947741" w:rsidRDefault="00087914" w:rsidP="00947741">
      <w:pPr>
        <w:spacing w:line="360" w:lineRule="auto"/>
        <w:jc w:val="both"/>
        <w:rPr>
          <w:b/>
          <w:bCs/>
          <w:i/>
          <w:iCs/>
        </w:rPr>
      </w:pPr>
      <w:bookmarkStart w:id="12" w:name="_Toc208202795"/>
      <w:bookmarkStart w:id="13" w:name="_Toc207181373"/>
      <w:bookmarkStart w:id="14" w:name="_Toc191191220"/>
      <w:bookmarkStart w:id="15" w:name="_Toc155686851"/>
      <w:r>
        <w:rPr>
          <w:b/>
          <w:bCs/>
          <w:i/>
          <w:iCs/>
        </w:rPr>
        <w:t>5</w:t>
      </w:r>
      <w:r w:rsidR="00947741" w:rsidRPr="00947741">
        <w:rPr>
          <w:b/>
          <w:bCs/>
          <w:i/>
          <w:iCs/>
        </w:rPr>
        <w:t>-1) Disponibilidades</w:t>
      </w:r>
      <w:bookmarkEnd w:id="12"/>
      <w:bookmarkEnd w:id="13"/>
      <w:bookmarkEnd w:id="14"/>
      <w:bookmarkEnd w:id="15"/>
    </w:p>
    <w:p w14:paraId="32E75EF2" w14:textId="77777777" w:rsidR="00947741" w:rsidRPr="00947741" w:rsidRDefault="00947741" w:rsidP="00947741">
      <w:pPr>
        <w:spacing w:line="360" w:lineRule="auto"/>
        <w:jc w:val="both"/>
        <w:rPr>
          <w:bCs/>
          <w:i/>
        </w:rPr>
      </w:pPr>
      <w:r w:rsidRPr="00947741">
        <w:rPr>
          <w:bCs/>
          <w:i/>
        </w:rPr>
        <w:t>La moneda de curso legal es el Peso Dominicano (RD$) y se expresa a su valor nominal.  Por otra parte, la moneda</w:t>
      </w:r>
      <w:r w:rsidRPr="00947741">
        <w:rPr>
          <w:b/>
          <w:bCs/>
          <w:i/>
        </w:rPr>
        <w:t xml:space="preserve"> </w:t>
      </w:r>
      <w:r w:rsidRPr="00947741">
        <w:rPr>
          <w:bCs/>
          <w:i/>
        </w:rPr>
        <w:t>extranjera se valúa por la tasa de cambio para la compra vigente, al momento de cada transacción y al cierre de cada ejercicio, por su cotización al tipo de cambio comprador a esa fecha.</w:t>
      </w:r>
    </w:p>
    <w:p w14:paraId="32E75EF3" w14:textId="77777777" w:rsidR="00947741" w:rsidRPr="00947741" w:rsidRDefault="00947741" w:rsidP="00947741">
      <w:pPr>
        <w:spacing w:line="360" w:lineRule="auto"/>
        <w:jc w:val="both"/>
        <w:rPr>
          <w:bCs/>
          <w:i/>
          <w:sz w:val="12"/>
          <w:szCs w:val="12"/>
        </w:rPr>
      </w:pPr>
    </w:p>
    <w:p w14:paraId="32E75EF4" w14:textId="387CE212" w:rsidR="00947741" w:rsidRPr="00947741" w:rsidRDefault="00087914" w:rsidP="00947741">
      <w:pPr>
        <w:spacing w:line="360" w:lineRule="auto"/>
        <w:jc w:val="both"/>
        <w:rPr>
          <w:b/>
          <w:bCs/>
          <w:i/>
          <w:iCs/>
        </w:rPr>
      </w:pPr>
      <w:bookmarkStart w:id="16" w:name="_Toc191191221"/>
      <w:bookmarkStart w:id="17" w:name="_Toc155686852"/>
      <w:bookmarkStart w:id="18" w:name="_Toc208202796"/>
      <w:bookmarkStart w:id="19" w:name="_Toc207181374"/>
      <w:r>
        <w:rPr>
          <w:b/>
          <w:bCs/>
          <w:i/>
          <w:iCs/>
        </w:rPr>
        <w:t>5</w:t>
      </w:r>
      <w:r w:rsidR="00947741" w:rsidRPr="00947741">
        <w:rPr>
          <w:b/>
          <w:bCs/>
          <w:i/>
          <w:iCs/>
        </w:rPr>
        <w:t>-2) Inversiones Financieras</w:t>
      </w:r>
      <w:bookmarkEnd w:id="16"/>
      <w:bookmarkEnd w:id="17"/>
      <w:bookmarkEnd w:id="18"/>
      <w:bookmarkEnd w:id="19"/>
    </w:p>
    <w:p w14:paraId="32E75EF5" w14:textId="77777777" w:rsidR="00947741" w:rsidRPr="00947741" w:rsidRDefault="00947741" w:rsidP="00947741">
      <w:pPr>
        <w:spacing w:line="360" w:lineRule="auto"/>
        <w:jc w:val="both"/>
        <w:rPr>
          <w:bCs/>
          <w:i/>
        </w:rPr>
      </w:pPr>
      <w:r w:rsidRPr="00947741">
        <w:rPr>
          <w:bCs/>
          <w:i/>
        </w:rPr>
        <w:t xml:space="preserve">La adquisición de Títulos y Valores Negociables se registrarán por su valor de costo o adquisición. A la fecha de presentación de los Estados Financieros, se deben valuar a su valor de costo. Las inversiones a plazo fijo o indefinidos, no vencidos al cierre del ejercicio fiscal, se valúan por su valor nominal más los intereses devengados hasta esa fecha. </w:t>
      </w:r>
    </w:p>
    <w:p w14:paraId="32E75EF6" w14:textId="77777777" w:rsidR="00947741" w:rsidRPr="00947741" w:rsidRDefault="00947741" w:rsidP="00947741">
      <w:pPr>
        <w:spacing w:line="360" w:lineRule="auto"/>
        <w:jc w:val="both"/>
        <w:rPr>
          <w:b/>
          <w:bCs/>
          <w:i/>
          <w:iCs/>
          <w:sz w:val="12"/>
          <w:szCs w:val="12"/>
        </w:rPr>
      </w:pPr>
      <w:bookmarkStart w:id="20" w:name="_Toc191191222"/>
      <w:bookmarkStart w:id="21" w:name="_Toc155686853"/>
    </w:p>
    <w:p w14:paraId="32E75EF7" w14:textId="6A9E7B54" w:rsidR="00947741" w:rsidRPr="00947741" w:rsidRDefault="00087914" w:rsidP="00947741">
      <w:pPr>
        <w:spacing w:line="360" w:lineRule="auto"/>
        <w:jc w:val="both"/>
        <w:rPr>
          <w:b/>
          <w:bCs/>
          <w:i/>
          <w:iCs/>
        </w:rPr>
      </w:pPr>
      <w:bookmarkStart w:id="22" w:name="_Toc208202797"/>
      <w:bookmarkStart w:id="23" w:name="_Toc207181375"/>
      <w:r>
        <w:rPr>
          <w:b/>
          <w:bCs/>
          <w:i/>
          <w:iCs/>
        </w:rPr>
        <w:t>5</w:t>
      </w:r>
      <w:r w:rsidR="00947741" w:rsidRPr="00947741">
        <w:rPr>
          <w:b/>
          <w:bCs/>
          <w:i/>
          <w:iCs/>
        </w:rPr>
        <w:t>-3) Cuentas y Documentos por Cobrar</w:t>
      </w:r>
      <w:bookmarkEnd w:id="20"/>
      <w:bookmarkEnd w:id="21"/>
      <w:bookmarkEnd w:id="22"/>
      <w:bookmarkEnd w:id="23"/>
    </w:p>
    <w:p w14:paraId="32E75EF8" w14:textId="77777777" w:rsidR="00947741" w:rsidRPr="00947741" w:rsidRDefault="00947741" w:rsidP="00947741">
      <w:pPr>
        <w:spacing w:line="360" w:lineRule="auto"/>
        <w:jc w:val="both"/>
        <w:rPr>
          <w:bCs/>
          <w:i/>
        </w:rPr>
      </w:pPr>
      <w:r w:rsidRPr="00947741">
        <w:rPr>
          <w:bCs/>
          <w:i/>
        </w:rPr>
        <w:t>Las cuentas y documentos por cobrar a corto plazo, son valuados conforme a las acreencias que tenga la entidad económica hacia los terceros, según surjan de los derechos u obligaciones resultantes de cada transacción.</w:t>
      </w:r>
    </w:p>
    <w:p w14:paraId="32E75EF9" w14:textId="77777777" w:rsidR="00947741" w:rsidRPr="00947741" w:rsidRDefault="00947741" w:rsidP="00947741">
      <w:pPr>
        <w:spacing w:line="360" w:lineRule="auto"/>
        <w:jc w:val="both"/>
        <w:rPr>
          <w:b/>
          <w:bCs/>
          <w:i/>
          <w:iCs/>
          <w:sz w:val="12"/>
          <w:szCs w:val="12"/>
        </w:rPr>
      </w:pPr>
      <w:bookmarkStart w:id="24" w:name="_Toc191191223"/>
      <w:bookmarkStart w:id="25" w:name="_Toc155686854"/>
    </w:p>
    <w:p w14:paraId="32E75EFA" w14:textId="3A4928C9" w:rsidR="00947741" w:rsidRPr="00947741" w:rsidRDefault="00087914" w:rsidP="00947741">
      <w:pPr>
        <w:spacing w:line="360" w:lineRule="auto"/>
        <w:jc w:val="both"/>
        <w:rPr>
          <w:b/>
          <w:bCs/>
          <w:i/>
          <w:iCs/>
        </w:rPr>
      </w:pPr>
      <w:bookmarkStart w:id="26" w:name="_Toc208202798"/>
      <w:bookmarkStart w:id="27" w:name="_Toc207181376"/>
      <w:r>
        <w:rPr>
          <w:b/>
          <w:bCs/>
          <w:i/>
          <w:iCs/>
        </w:rPr>
        <w:t>5</w:t>
      </w:r>
      <w:r w:rsidR="00947741" w:rsidRPr="00947741">
        <w:rPr>
          <w:b/>
          <w:bCs/>
          <w:i/>
          <w:iCs/>
        </w:rPr>
        <w:t>-4) Bienes de Cambio en General</w:t>
      </w:r>
      <w:bookmarkEnd w:id="24"/>
      <w:bookmarkEnd w:id="25"/>
      <w:bookmarkEnd w:id="26"/>
      <w:bookmarkEnd w:id="27"/>
    </w:p>
    <w:p w14:paraId="32E75EFB" w14:textId="77777777" w:rsidR="00947741" w:rsidRPr="00947741" w:rsidRDefault="00947741" w:rsidP="00947741">
      <w:pPr>
        <w:spacing w:line="360" w:lineRule="auto"/>
        <w:jc w:val="both"/>
        <w:rPr>
          <w:bCs/>
          <w:i/>
        </w:rPr>
      </w:pPr>
      <w:r w:rsidRPr="00947741">
        <w:rPr>
          <w:bCs/>
          <w:i/>
        </w:rPr>
        <w:t>Los bienes de cambio o de consumo se valúan al costo de adquisición o producción en que se incurre para obtener el bien.  El costo de adquisición está constituido por los montos de las erogaciones efectuadas para su compra o producción y todos los gastos incurridos para situarlo en el lugar de destino, ajustado a las condiciones de su uso o venta.</w:t>
      </w:r>
    </w:p>
    <w:p w14:paraId="32E75EFC" w14:textId="77777777" w:rsidR="00947741" w:rsidRPr="00947741" w:rsidRDefault="00947741" w:rsidP="00947741">
      <w:pPr>
        <w:spacing w:line="360" w:lineRule="auto"/>
        <w:jc w:val="both"/>
        <w:rPr>
          <w:bCs/>
          <w:i/>
        </w:rPr>
      </w:pPr>
      <w:r w:rsidRPr="00947741">
        <w:rPr>
          <w:bCs/>
          <w:i/>
        </w:rPr>
        <w:t>Los costos por intereses relacionados con el financiamiento de la adquisición o producción del bien, no forman parte del costo del mismo. Por otra parte, las bonificaciones (descuentos) por pronto pago son consideradas al determinar el costo de los mismos.</w:t>
      </w:r>
    </w:p>
    <w:p w14:paraId="32E75EFD" w14:textId="77777777" w:rsidR="00947741" w:rsidRPr="00947741" w:rsidRDefault="00947741" w:rsidP="00947741">
      <w:pPr>
        <w:spacing w:line="360" w:lineRule="auto"/>
        <w:jc w:val="both"/>
        <w:rPr>
          <w:b/>
          <w:bCs/>
          <w:i/>
          <w:iCs/>
          <w:sz w:val="12"/>
          <w:szCs w:val="12"/>
        </w:rPr>
      </w:pPr>
      <w:bookmarkStart w:id="28" w:name="_Toc208202799"/>
      <w:bookmarkStart w:id="29" w:name="_Toc207181377"/>
      <w:bookmarkStart w:id="30" w:name="_Toc191191224"/>
      <w:bookmarkStart w:id="31" w:name="_Toc155686855"/>
    </w:p>
    <w:p w14:paraId="32E75EFE" w14:textId="07AC65E7" w:rsidR="00947741" w:rsidRPr="00947741" w:rsidRDefault="00186C6B" w:rsidP="00947741">
      <w:pPr>
        <w:spacing w:line="360" w:lineRule="auto"/>
        <w:jc w:val="both"/>
        <w:rPr>
          <w:b/>
          <w:bCs/>
          <w:i/>
          <w:iCs/>
        </w:rPr>
      </w:pPr>
      <w:r>
        <w:rPr>
          <w:b/>
          <w:bCs/>
          <w:i/>
          <w:iCs/>
        </w:rPr>
        <w:t>5</w:t>
      </w:r>
      <w:r w:rsidR="00947741" w:rsidRPr="00947741">
        <w:rPr>
          <w:b/>
          <w:bCs/>
          <w:i/>
          <w:iCs/>
        </w:rPr>
        <w:t>-5) Bienes de Uso y Depreciación</w:t>
      </w:r>
      <w:bookmarkEnd w:id="28"/>
      <w:bookmarkEnd w:id="29"/>
      <w:bookmarkEnd w:id="30"/>
      <w:bookmarkEnd w:id="31"/>
    </w:p>
    <w:p w14:paraId="32E75EFF" w14:textId="77777777" w:rsidR="00947741" w:rsidRPr="00947741" w:rsidRDefault="00947741" w:rsidP="00947741">
      <w:pPr>
        <w:spacing w:line="360" w:lineRule="auto"/>
        <w:jc w:val="both"/>
        <w:rPr>
          <w:bCs/>
          <w:i/>
        </w:rPr>
      </w:pPr>
      <w:r w:rsidRPr="00947741">
        <w:rPr>
          <w:bCs/>
          <w:i/>
        </w:rPr>
        <w:t xml:space="preserve">Las inversiones en bienes de uso se valúan por su costo de adquisición, de construcción o por un valor equivalente (costo corriente) cuando se reciben sin contraprestación. El costo de adquisición incluye el precio neto pagado por los bienes, más todos los gastos necesarios para colocar el bien en lugar y condiciones de uso. </w:t>
      </w:r>
    </w:p>
    <w:p w14:paraId="32E75F01" w14:textId="77777777" w:rsidR="00947741" w:rsidRPr="00947741" w:rsidRDefault="00947741" w:rsidP="00947741">
      <w:pPr>
        <w:spacing w:line="360" w:lineRule="auto"/>
        <w:jc w:val="both"/>
        <w:rPr>
          <w:bCs/>
          <w:i/>
        </w:rPr>
      </w:pPr>
      <w:r w:rsidRPr="00947741">
        <w:rPr>
          <w:bCs/>
          <w:i/>
        </w:rPr>
        <w:lastRenderedPageBreak/>
        <w:t>Los costos de construcción incluyen los costos directos e indirectos, incluyendo los costos de administración de la obra, incurridos y devengados durante el período efectivo de la construcción.</w:t>
      </w:r>
    </w:p>
    <w:p w14:paraId="32E75F02" w14:textId="77777777" w:rsidR="00947741" w:rsidRPr="00947741" w:rsidRDefault="00947741" w:rsidP="00947741">
      <w:pPr>
        <w:spacing w:line="360" w:lineRule="auto"/>
        <w:jc w:val="both"/>
        <w:rPr>
          <w:bCs/>
          <w:i/>
          <w:sz w:val="12"/>
          <w:szCs w:val="12"/>
        </w:rPr>
      </w:pPr>
    </w:p>
    <w:p w14:paraId="32E75F03" w14:textId="77777777" w:rsidR="00947741" w:rsidRPr="00947741" w:rsidRDefault="00947741" w:rsidP="00947741">
      <w:pPr>
        <w:spacing w:line="360" w:lineRule="auto"/>
        <w:jc w:val="both"/>
        <w:rPr>
          <w:bCs/>
          <w:i/>
        </w:rPr>
      </w:pPr>
      <w:r w:rsidRPr="00947741">
        <w:rPr>
          <w:bCs/>
          <w:i/>
        </w:rPr>
        <w:t>Los bienes recibidos en donación son contabilizados a valor corriente, representado por el importe de efectivo y otras partidas equivalentes, que debería pagarse para adquirirlo en las condiciones en que se encuentren.</w:t>
      </w:r>
    </w:p>
    <w:p w14:paraId="32E75F04" w14:textId="77777777" w:rsidR="00947741" w:rsidRPr="00947741" w:rsidRDefault="00947741" w:rsidP="00947741">
      <w:pPr>
        <w:spacing w:line="360" w:lineRule="auto"/>
        <w:jc w:val="both"/>
        <w:rPr>
          <w:bCs/>
          <w:i/>
          <w:sz w:val="12"/>
          <w:szCs w:val="12"/>
        </w:rPr>
      </w:pPr>
    </w:p>
    <w:p w14:paraId="32E75F05" w14:textId="77777777" w:rsidR="00947741" w:rsidRPr="00947741" w:rsidRDefault="00947741" w:rsidP="00947741">
      <w:pPr>
        <w:spacing w:line="360" w:lineRule="auto"/>
        <w:jc w:val="both"/>
        <w:rPr>
          <w:bCs/>
          <w:i/>
        </w:rPr>
      </w:pPr>
      <w:r w:rsidRPr="00947741">
        <w:rPr>
          <w:bCs/>
          <w:i/>
        </w:rPr>
        <w:t>Los bienes adquiridos en monedas extranjeras se registran al tipo de cambio vigente a la fecha de la adquisición.</w:t>
      </w:r>
    </w:p>
    <w:p w14:paraId="32E75F06" w14:textId="77777777" w:rsidR="00947741" w:rsidRPr="00947741" w:rsidRDefault="00947741" w:rsidP="00947741">
      <w:pPr>
        <w:spacing w:line="360" w:lineRule="auto"/>
        <w:jc w:val="both"/>
        <w:rPr>
          <w:bCs/>
          <w:i/>
          <w:sz w:val="12"/>
          <w:szCs w:val="12"/>
        </w:rPr>
      </w:pPr>
    </w:p>
    <w:p w14:paraId="32E75F07" w14:textId="77777777" w:rsidR="00947741" w:rsidRPr="00947741" w:rsidRDefault="00947741" w:rsidP="00947741">
      <w:pPr>
        <w:spacing w:line="360" w:lineRule="auto"/>
        <w:jc w:val="both"/>
        <w:rPr>
          <w:bCs/>
          <w:i/>
        </w:rPr>
      </w:pPr>
      <w:r w:rsidRPr="00947741">
        <w:rPr>
          <w:bCs/>
          <w:i/>
        </w:rPr>
        <w:t>Los costos de mejoras, reparaciones mayores y rehabilitaciones que extienden la vida útil de los Bienes de Uso, se capitalizan en forma conjunta con el bien existente o por separado cuando ello sea aconsejable, de acuerdo a la naturaleza de la operación realizada y del bien de que se trate.</w:t>
      </w:r>
    </w:p>
    <w:p w14:paraId="32E75F08" w14:textId="77777777" w:rsidR="00947741" w:rsidRPr="00947741" w:rsidRDefault="00947741" w:rsidP="00947741">
      <w:pPr>
        <w:spacing w:line="360" w:lineRule="auto"/>
        <w:jc w:val="both"/>
        <w:rPr>
          <w:bCs/>
          <w:i/>
          <w:sz w:val="12"/>
          <w:szCs w:val="12"/>
        </w:rPr>
      </w:pPr>
    </w:p>
    <w:p w14:paraId="32E75F09" w14:textId="77777777" w:rsidR="00947741" w:rsidRPr="00947741" w:rsidRDefault="00947741" w:rsidP="00947741">
      <w:pPr>
        <w:spacing w:line="360" w:lineRule="auto"/>
        <w:jc w:val="both"/>
        <w:rPr>
          <w:bCs/>
          <w:i/>
        </w:rPr>
      </w:pPr>
      <w:r w:rsidRPr="00947741">
        <w:rPr>
          <w:bCs/>
          <w:i/>
        </w:rPr>
        <w:t xml:space="preserve">Los bienes inmuebles son contabilizados de acuerdo a la última valuación fiscal conocida, y de no resultar factible su obtención, se recurrirá a su tasación. </w:t>
      </w:r>
    </w:p>
    <w:p w14:paraId="32E75F0A" w14:textId="77777777" w:rsidR="00947741" w:rsidRPr="00947741" w:rsidRDefault="00947741" w:rsidP="00947741">
      <w:pPr>
        <w:spacing w:line="360" w:lineRule="auto"/>
        <w:jc w:val="both"/>
        <w:rPr>
          <w:bCs/>
          <w:i/>
          <w:sz w:val="12"/>
          <w:szCs w:val="12"/>
        </w:rPr>
      </w:pPr>
    </w:p>
    <w:p w14:paraId="32E75F0B" w14:textId="77777777" w:rsidR="00947741" w:rsidRPr="00947741" w:rsidRDefault="00947741" w:rsidP="00947741">
      <w:pPr>
        <w:spacing w:line="360" w:lineRule="auto"/>
        <w:jc w:val="both"/>
        <w:rPr>
          <w:bCs/>
          <w:i/>
        </w:rPr>
      </w:pPr>
      <w:r w:rsidRPr="00947741">
        <w:rPr>
          <w:bCs/>
          <w:i/>
        </w:rPr>
        <w:t xml:space="preserve">El método de cálculo para el registro de la </w:t>
      </w:r>
      <w:r w:rsidRPr="00947741">
        <w:rPr>
          <w:b/>
          <w:bCs/>
          <w:i/>
        </w:rPr>
        <w:t>Depreciación</w:t>
      </w:r>
      <w:r w:rsidRPr="00947741">
        <w:rPr>
          <w:bCs/>
          <w:i/>
        </w:rPr>
        <w:t xml:space="preserve"> es el de </w:t>
      </w:r>
      <w:r w:rsidRPr="00947741">
        <w:rPr>
          <w:b/>
          <w:bCs/>
          <w:i/>
        </w:rPr>
        <w:t>Línea Recta</w:t>
      </w:r>
      <w:r w:rsidRPr="00947741">
        <w:rPr>
          <w:bCs/>
          <w:i/>
        </w:rPr>
        <w:t>, adoptado como método general aplicable a todo el Sector Público, a los fines de su consolidación. El uso de este método representa la distribución sistemática y racional del costo total de cada partida del activo fijo tangible, durante el período de su aprovechamiento económico, el mismo será aplicado a todos los bienes de uso de dominio público, con excepción de los terrenos.</w:t>
      </w:r>
    </w:p>
    <w:p w14:paraId="32E75F0C" w14:textId="77777777" w:rsidR="00947741" w:rsidRPr="00947741" w:rsidRDefault="00947741" w:rsidP="00947741">
      <w:pPr>
        <w:spacing w:line="360" w:lineRule="auto"/>
        <w:jc w:val="both"/>
        <w:rPr>
          <w:b/>
          <w:bCs/>
          <w:i/>
          <w:iCs/>
          <w:sz w:val="12"/>
          <w:szCs w:val="12"/>
        </w:rPr>
      </w:pPr>
      <w:bookmarkStart w:id="32" w:name="_Toc207181378"/>
      <w:bookmarkStart w:id="33" w:name="_Toc191191225"/>
      <w:bookmarkStart w:id="34" w:name="_Toc155686856"/>
    </w:p>
    <w:p w14:paraId="32E75F0D" w14:textId="286CD7CE" w:rsidR="00947741" w:rsidRPr="00947741" w:rsidRDefault="00186C6B" w:rsidP="00947741">
      <w:pPr>
        <w:spacing w:line="360" w:lineRule="auto"/>
        <w:jc w:val="both"/>
        <w:rPr>
          <w:b/>
          <w:bCs/>
          <w:i/>
          <w:iCs/>
        </w:rPr>
      </w:pPr>
      <w:bookmarkStart w:id="35" w:name="_Toc208202800"/>
      <w:r>
        <w:rPr>
          <w:b/>
          <w:bCs/>
          <w:i/>
          <w:iCs/>
        </w:rPr>
        <w:t>5</w:t>
      </w:r>
      <w:r w:rsidR="00947741" w:rsidRPr="00947741">
        <w:rPr>
          <w:b/>
          <w:bCs/>
          <w:i/>
          <w:iCs/>
        </w:rPr>
        <w:t>-6) Bienes Intangibles</w:t>
      </w:r>
      <w:bookmarkEnd w:id="32"/>
      <w:bookmarkEnd w:id="33"/>
      <w:bookmarkEnd w:id="34"/>
      <w:bookmarkEnd w:id="35"/>
    </w:p>
    <w:p w14:paraId="32E75F0E" w14:textId="77777777" w:rsidR="00947741" w:rsidRPr="00947741" w:rsidRDefault="00947741" w:rsidP="00947741">
      <w:pPr>
        <w:spacing w:line="360" w:lineRule="auto"/>
        <w:jc w:val="both"/>
        <w:rPr>
          <w:bCs/>
          <w:i/>
        </w:rPr>
      </w:pPr>
      <w:r w:rsidRPr="00947741">
        <w:rPr>
          <w:bCs/>
          <w:i/>
        </w:rPr>
        <w:t>Estas partidas de los activos no corrientes, se registran por su valor de adquisición o su valor corriente cuando no existe contraprestación, como es el caso de la donación.</w:t>
      </w:r>
    </w:p>
    <w:p w14:paraId="32E75F0F" w14:textId="77777777" w:rsidR="00947741" w:rsidRPr="00947741" w:rsidRDefault="00947741" w:rsidP="00947741">
      <w:pPr>
        <w:spacing w:line="360" w:lineRule="auto"/>
        <w:jc w:val="both"/>
        <w:rPr>
          <w:bCs/>
          <w:i/>
          <w:sz w:val="12"/>
          <w:szCs w:val="12"/>
        </w:rPr>
      </w:pPr>
    </w:p>
    <w:p w14:paraId="32E75F10" w14:textId="77777777" w:rsidR="00947741" w:rsidRPr="00947741" w:rsidRDefault="00947741" w:rsidP="00947741">
      <w:pPr>
        <w:spacing w:line="360" w:lineRule="auto"/>
        <w:jc w:val="both"/>
        <w:rPr>
          <w:bCs/>
          <w:i/>
        </w:rPr>
      </w:pPr>
      <w:r w:rsidRPr="00947741">
        <w:rPr>
          <w:bCs/>
          <w:i/>
        </w:rPr>
        <w:t xml:space="preserve">Para la </w:t>
      </w:r>
      <w:r w:rsidRPr="00947741">
        <w:rPr>
          <w:b/>
          <w:bCs/>
          <w:i/>
        </w:rPr>
        <w:t>Depreciación</w:t>
      </w:r>
      <w:r w:rsidRPr="00947741">
        <w:rPr>
          <w:bCs/>
          <w:i/>
        </w:rPr>
        <w:t xml:space="preserve"> de esta categoría de bienes se aplica el mismo método de línea recta.</w:t>
      </w:r>
    </w:p>
    <w:p w14:paraId="32E75F11" w14:textId="77777777" w:rsidR="00947741" w:rsidRPr="00947741" w:rsidRDefault="00947741" w:rsidP="00947741">
      <w:pPr>
        <w:spacing w:line="360" w:lineRule="auto"/>
        <w:jc w:val="both"/>
        <w:rPr>
          <w:bCs/>
          <w:i/>
          <w:sz w:val="12"/>
          <w:szCs w:val="12"/>
        </w:rPr>
      </w:pPr>
    </w:p>
    <w:p w14:paraId="32E75F12" w14:textId="77777777" w:rsidR="00947741" w:rsidRDefault="00947741" w:rsidP="00947741">
      <w:pPr>
        <w:spacing w:line="360" w:lineRule="auto"/>
        <w:jc w:val="both"/>
        <w:rPr>
          <w:b/>
          <w:bCs/>
          <w:i/>
          <w:iCs/>
        </w:rPr>
      </w:pPr>
      <w:bookmarkStart w:id="36" w:name="_Toc208202801"/>
      <w:bookmarkStart w:id="37" w:name="_Toc207181379"/>
      <w:bookmarkStart w:id="38" w:name="_Toc191191226"/>
      <w:bookmarkStart w:id="39" w:name="_Toc155686857"/>
    </w:p>
    <w:p w14:paraId="32E75F13" w14:textId="77777777" w:rsidR="00947741" w:rsidRDefault="00947741" w:rsidP="00947741">
      <w:pPr>
        <w:spacing w:line="360" w:lineRule="auto"/>
        <w:jc w:val="both"/>
        <w:rPr>
          <w:b/>
          <w:bCs/>
          <w:i/>
          <w:iCs/>
        </w:rPr>
      </w:pPr>
    </w:p>
    <w:p w14:paraId="32E75F14" w14:textId="779130A3" w:rsidR="00947741" w:rsidRPr="00947741" w:rsidRDefault="00186C6B" w:rsidP="00947741">
      <w:pPr>
        <w:spacing w:line="360" w:lineRule="auto"/>
        <w:jc w:val="both"/>
        <w:rPr>
          <w:b/>
          <w:bCs/>
          <w:i/>
          <w:iCs/>
        </w:rPr>
      </w:pPr>
      <w:r>
        <w:rPr>
          <w:b/>
          <w:bCs/>
          <w:i/>
          <w:iCs/>
        </w:rPr>
        <w:lastRenderedPageBreak/>
        <w:t>5</w:t>
      </w:r>
      <w:r w:rsidR="00947741" w:rsidRPr="00947741">
        <w:rPr>
          <w:b/>
          <w:bCs/>
          <w:i/>
          <w:iCs/>
        </w:rPr>
        <w:t>-7) Inversiones Corrientes e Inversiones a Largo Plazo</w:t>
      </w:r>
      <w:bookmarkEnd w:id="36"/>
      <w:bookmarkEnd w:id="37"/>
      <w:bookmarkEnd w:id="38"/>
      <w:bookmarkEnd w:id="39"/>
    </w:p>
    <w:p w14:paraId="32E75F15" w14:textId="77777777" w:rsidR="00947741" w:rsidRPr="00947741" w:rsidRDefault="00947741" w:rsidP="00947741">
      <w:pPr>
        <w:spacing w:line="360" w:lineRule="auto"/>
        <w:jc w:val="both"/>
        <w:rPr>
          <w:bCs/>
          <w:i/>
        </w:rPr>
      </w:pPr>
      <w:r w:rsidRPr="00947741">
        <w:rPr>
          <w:bCs/>
          <w:i/>
        </w:rPr>
        <w:t xml:space="preserve">Las inversiones con cotización en mercados de valores y las participaciones permanentes en sociedades en la que se ejerza influencia significativa, se valuarán a sus respectivas cotizaciones a la fecha de cierre del período, exceptuando los gastos estimados de venta e impuestos. </w:t>
      </w:r>
    </w:p>
    <w:p w14:paraId="32E75F16" w14:textId="77777777" w:rsidR="00947741" w:rsidRPr="00947741" w:rsidRDefault="00947741" w:rsidP="00947741">
      <w:pPr>
        <w:spacing w:line="360" w:lineRule="auto"/>
        <w:jc w:val="both"/>
        <w:rPr>
          <w:bCs/>
          <w:i/>
          <w:sz w:val="12"/>
          <w:szCs w:val="12"/>
        </w:rPr>
      </w:pPr>
    </w:p>
    <w:p w14:paraId="32E75F17" w14:textId="77777777" w:rsidR="00947741" w:rsidRPr="00947741" w:rsidRDefault="00947741" w:rsidP="00947741">
      <w:pPr>
        <w:spacing w:line="360" w:lineRule="auto"/>
        <w:jc w:val="both"/>
        <w:rPr>
          <w:bCs/>
          <w:i/>
        </w:rPr>
      </w:pPr>
      <w:r w:rsidRPr="00947741">
        <w:rPr>
          <w:bCs/>
          <w:i/>
        </w:rPr>
        <w:t>Cuando se trate de participaciones permanentes en las que se ejerza control o influencia significativa en las decisiones, se valuarán a su valor patrimonial proporcional.</w:t>
      </w:r>
    </w:p>
    <w:p w14:paraId="32E75F18" w14:textId="77777777" w:rsidR="00947741" w:rsidRPr="00947741" w:rsidRDefault="00947741" w:rsidP="00947741">
      <w:pPr>
        <w:spacing w:line="360" w:lineRule="auto"/>
        <w:jc w:val="both"/>
        <w:rPr>
          <w:bCs/>
          <w:i/>
          <w:sz w:val="12"/>
          <w:szCs w:val="12"/>
        </w:rPr>
      </w:pPr>
    </w:p>
    <w:p w14:paraId="32E75F19" w14:textId="77777777" w:rsidR="00947741" w:rsidRPr="00947741" w:rsidRDefault="00947741" w:rsidP="00947741">
      <w:pPr>
        <w:spacing w:line="360" w:lineRule="auto"/>
        <w:jc w:val="both"/>
        <w:rPr>
          <w:bCs/>
          <w:i/>
        </w:rPr>
      </w:pPr>
      <w:r w:rsidRPr="00947741">
        <w:rPr>
          <w:bCs/>
          <w:i/>
        </w:rPr>
        <w:t>Si el Poder Ejecutivo, realiza transferencias de capital a instituciones del Gobierno Central, sin tenerse el detalle del tipo de inversión realizada, serán catalogadas como un componente del activo fijo, sujetas a conciliación y reclasificación.</w:t>
      </w:r>
    </w:p>
    <w:p w14:paraId="32E75F1A" w14:textId="77777777" w:rsidR="00947741" w:rsidRPr="00947741" w:rsidRDefault="00947741" w:rsidP="00947741">
      <w:pPr>
        <w:spacing w:line="360" w:lineRule="auto"/>
        <w:jc w:val="both"/>
        <w:rPr>
          <w:bCs/>
          <w:i/>
          <w:sz w:val="12"/>
          <w:szCs w:val="12"/>
        </w:rPr>
      </w:pPr>
    </w:p>
    <w:p w14:paraId="32E75F1B" w14:textId="77777777" w:rsidR="00947741" w:rsidRPr="00947741" w:rsidRDefault="00947741" w:rsidP="00947741">
      <w:pPr>
        <w:spacing w:line="360" w:lineRule="auto"/>
        <w:jc w:val="both"/>
        <w:rPr>
          <w:bCs/>
          <w:i/>
        </w:rPr>
      </w:pPr>
      <w:r w:rsidRPr="00947741">
        <w:rPr>
          <w:bCs/>
          <w:i/>
        </w:rPr>
        <w:t>Asimismo, si durante el período se realizan transferencias de capital a instituciones descentralizadas y empresas públicas, éstas serán clasificadas y registradas como Participaciones y Aportes de Capital, sujetas a verificación a través de la consolidación de los Estados Financieros.</w:t>
      </w:r>
      <w:bookmarkStart w:id="40" w:name="_Toc180760098"/>
      <w:bookmarkStart w:id="41" w:name="_Toc155686858"/>
    </w:p>
    <w:p w14:paraId="32E75F1C" w14:textId="77777777" w:rsidR="00947741" w:rsidRPr="00947741" w:rsidRDefault="00947741" w:rsidP="00947741">
      <w:pPr>
        <w:spacing w:line="360" w:lineRule="auto"/>
        <w:jc w:val="both"/>
        <w:rPr>
          <w:b/>
          <w:bCs/>
          <w:i/>
          <w:sz w:val="12"/>
          <w:szCs w:val="12"/>
        </w:rPr>
      </w:pPr>
      <w:bookmarkStart w:id="42" w:name="_Toc208202802"/>
      <w:bookmarkStart w:id="43" w:name="_Toc207181380"/>
      <w:bookmarkStart w:id="44" w:name="_Toc191191227"/>
    </w:p>
    <w:p w14:paraId="32E75F1D" w14:textId="77777777" w:rsidR="00947741" w:rsidRPr="00947741" w:rsidRDefault="00947741" w:rsidP="00947741">
      <w:pPr>
        <w:spacing w:line="360" w:lineRule="auto"/>
        <w:jc w:val="both"/>
        <w:rPr>
          <w:b/>
          <w:bCs/>
          <w:i/>
        </w:rPr>
      </w:pPr>
      <w:r w:rsidRPr="00947741">
        <w:rPr>
          <w:b/>
          <w:bCs/>
          <w:i/>
        </w:rPr>
        <w:t>Base de medición de Pasivos y Patrimonio</w:t>
      </w:r>
      <w:bookmarkEnd w:id="40"/>
      <w:bookmarkEnd w:id="41"/>
      <w:bookmarkEnd w:id="42"/>
      <w:bookmarkEnd w:id="43"/>
      <w:bookmarkEnd w:id="44"/>
    </w:p>
    <w:p w14:paraId="32E75F1E" w14:textId="689F949D" w:rsidR="00947741" w:rsidRPr="00947741" w:rsidRDefault="00186C6B" w:rsidP="00947741">
      <w:pPr>
        <w:spacing w:line="360" w:lineRule="auto"/>
        <w:jc w:val="both"/>
        <w:rPr>
          <w:b/>
          <w:bCs/>
          <w:i/>
          <w:iCs/>
        </w:rPr>
      </w:pPr>
      <w:bookmarkStart w:id="45" w:name="_Toc208202803"/>
      <w:bookmarkStart w:id="46" w:name="_Toc207181381"/>
      <w:bookmarkStart w:id="47" w:name="_Toc191191228"/>
      <w:bookmarkStart w:id="48" w:name="_Toc155686859"/>
      <w:r>
        <w:rPr>
          <w:b/>
          <w:bCs/>
          <w:i/>
          <w:iCs/>
        </w:rPr>
        <w:t>5</w:t>
      </w:r>
      <w:r w:rsidR="00947741" w:rsidRPr="00947741">
        <w:rPr>
          <w:b/>
          <w:bCs/>
          <w:i/>
          <w:iCs/>
        </w:rPr>
        <w:t>-8) Deudas</w:t>
      </w:r>
      <w:bookmarkEnd w:id="45"/>
      <w:bookmarkEnd w:id="46"/>
      <w:bookmarkEnd w:id="47"/>
      <w:bookmarkEnd w:id="48"/>
    </w:p>
    <w:p w14:paraId="32E75F1F" w14:textId="77777777" w:rsidR="00947741" w:rsidRPr="00947741" w:rsidRDefault="00947741" w:rsidP="00947741">
      <w:pPr>
        <w:spacing w:line="360" w:lineRule="auto"/>
        <w:jc w:val="both"/>
        <w:rPr>
          <w:bCs/>
          <w:i/>
        </w:rPr>
      </w:pPr>
      <w:r w:rsidRPr="00947741">
        <w:rPr>
          <w:bCs/>
          <w:i/>
        </w:rPr>
        <w:t>Los pasivos por concepto de deudas se contabilizan por el valor de los bienes adquiridos y los servicios recibidos, deduciendo los descuentos comerciales obtenidos, si aplican.</w:t>
      </w:r>
    </w:p>
    <w:p w14:paraId="32E75F20" w14:textId="77777777" w:rsidR="00947741" w:rsidRPr="00947741" w:rsidRDefault="00947741" w:rsidP="00947741">
      <w:pPr>
        <w:spacing w:line="360" w:lineRule="auto"/>
        <w:jc w:val="both"/>
        <w:rPr>
          <w:bCs/>
          <w:i/>
          <w:sz w:val="12"/>
          <w:szCs w:val="12"/>
        </w:rPr>
      </w:pPr>
    </w:p>
    <w:p w14:paraId="32E75F21" w14:textId="77777777" w:rsidR="00947741" w:rsidRPr="00947741" w:rsidRDefault="00947741" w:rsidP="00947741">
      <w:pPr>
        <w:spacing w:line="360" w:lineRule="auto"/>
        <w:jc w:val="both"/>
        <w:rPr>
          <w:bCs/>
          <w:i/>
        </w:rPr>
      </w:pPr>
      <w:r w:rsidRPr="00947741">
        <w:rPr>
          <w:bCs/>
          <w:i/>
        </w:rPr>
        <w:t>Los pasivos asumidos por concepto de préstamos en efectivo por la colocación de títulos de deuda pública y por contratos de préstamos con Organismos Internacionales, Bilaterales y Multilaterales de Crédito, son registrados por el importe del valor nominal de los títulos colocados y por los tramos efectivamente desembolsados de los contratos de préstamos suscritos.</w:t>
      </w:r>
    </w:p>
    <w:p w14:paraId="32E75F22" w14:textId="77777777" w:rsidR="00947741" w:rsidRPr="00947741" w:rsidRDefault="00947741" w:rsidP="00947741">
      <w:pPr>
        <w:spacing w:line="360" w:lineRule="auto"/>
        <w:jc w:val="both"/>
        <w:rPr>
          <w:bCs/>
          <w:i/>
          <w:sz w:val="12"/>
          <w:szCs w:val="12"/>
        </w:rPr>
      </w:pPr>
    </w:p>
    <w:p w14:paraId="32E75F23" w14:textId="77777777" w:rsidR="00947741" w:rsidRPr="00947741" w:rsidRDefault="00947741" w:rsidP="00947741">
      <w:pPr>
        <w:spacing w:line="360" w:lineRule="auto"/>
        <w:jc w:val="both"/>
        <w:rPr>
          <w:bCs/>
          <w:i/>
        </w:rPr>
      </w:pPr>
      <w:r w:rsidRPr="00947741">
        <w:rPr>
          <w:bCs/>
          <w:i/>
        </w:rPr>
        <w:t>Los pasivos en moneda extranjera se valúan de acuerdo a la cotización de la moneda de que se trate, al tipo de cambio comprador a la fecha del ingreso de los fondos. Al cierre del ejercicio contable los montos no pagados o pendientes de pago se ajustan a la cotización de la moneda vigente a esa fecha.</w:t>
      </w:r>
      <w:bookmarkStart w:id="49" w:name="_Toc208202804"/>
      <w:bookmarkStart w:id="50" w:name="_Toc207181382"/>
      <w:bookmarkStart w:id="51" w:name="_Toc191191229"/>
      <w:bookmarkStart w:id="52" w:name="_Toc155686860"/>
    </w:p>
    <w:p w14:paraId="32E75F24" w14:textId="4347E81A" w:rsidR="00947741" w:rsidRPr="00947741" w:rsidRDefault="00186C6B" w:rsidP="00947741">
      <w:pPr>
        <w:spacing w:line="360" w:lineRule="auto"/>
        <w:jc w:val="both"/>
        <w:rPr>
          <w:b/>
          <w:bCs/>
          <w:i/>
          <w:iCs/>
        </w:rPr>
      </w:pPr>
      <w:r>
        <w:rPr>
          <w:b/>
          <w:bCs/>
          <w:i/>
          <w:iCs/>
        </w:rPr>
        <w:lastRenderedPageBreak/>
        <w:t>5</w:t>
      </w:r>
      <w:r w:rsidR="00947741" w:rsidRPr="00947741">
        <w:rPr>
          <w:b/>
          <w:bCs/>
          <w:i/>
          <w:iCs/>
        </w:rPr>
        <w:t>-9) Pasivos Diferidos</w:t>
      </w:r>
      <w:bookmarkEnd w:id="49"/>
      <w:bookmarkEnd w:id="50"/>
      <w:bookmarkEnd w:id="51"/>
      <w:bookmarkEnd w:id="52"/>
    </w:p>
    <w:p w14:paraId="32E75F25" w14:textId="77777777" w:rsidR="00947741" w:rsidRPr="00947741" w:rsidRDefault="00947741" w:rsidP="00947741">
      <w:pPr>
        <w:spacing w:line="360" w:lineRule="auto"/>
        <w:jc w:val="both"/>
        <w:rPr>
          <w:bCs/>
          <w:i/>
        </w:rPr>
      </w:pPr>
      <w:r w:rsidRPr="00947741">
        <w:rPr>
          <w:bCs/>
          <w:i/>
        </w:rPr>
        <w:t>Los pasivos diferidos están valuados al valor nominal de los anticipos recibidos por obligaciones que deberán cumplirse en ejercicios siguientes.</w:t>
      </w:r>
    </w:p>
    <w:p w14:paraId="32E75F26" w14:textId="77777777" w:rsidR="00947741" w:rsidRPr="00947741" w:rsidRDefault="00947741" w:rsidP="00947741">
      <w:pPr>
        <w:spacing w:line="360" w:lineRule="auto"/>
        <w:jc w:val="both"/>
        <w:rPr>
          <w:bCs/>
          <w:i/>
          <w:sz w:val="12"/>
          <w:szCs w:val="12"/>
        </w:rPr>
      </w:pPr>
    </w:p>
    <w:p w14:paraId="32E75F27" w14:textId="6E3BAD94" w:rsidR="00947741" w:rsidRPr="00947741" w:rsidRDefault="00186C6B" w:rsidP="00947741">
      <w:pPr>
        <w:spacing w:line="360" w:lineRule="auto"/>
        <w:jc w:val="both"/>
        <w:rPr>
          <w:b/>
          <w:bCs/>
          <w:i/>
          <w:iCs/>
        </w:rPr>
      </w:pPr>
      <w:bookmarkStart w:id="53" w:name="_Toc208202805"/>
      <w:bookmarkStart w:id="54" w:name="_Toc207181383"/>
      <w:bookmarkStart w:id="55" w:name="_Toc191191230"/>
      <w:bookmarkStart w:id="56" w:name="_Toc155686861"/>
      <w:r>
        <w:rPr>
          <w:b/>
          <w:bCs/>
          <w:i/>
          <w:iCs/>
        </w:rPr>
        <w:t>5</w:t>
      </w:r>
      <w:r w:rsidR="00947741" w:rsidRPr="00947741">
        <w:rPr>
          <w:b/>
          <w:bCs/>
          <w:i/>
          <w:iCs/>
        </w:rPr>
        <w:t>-10) Provisiones</w:t>
      </w:r>
      <w:bookmarkEnd w:id="53"/>
      <w:bookmarkEnd w:id="54"/>
      <w:bookmarkEnd w:id="55"/>
      <w:bookmarkEnd w:id="56"/>
    </w:p>
    <w:p w14:paraId="32E75F28" w14:textId="77777777" w:rsidR="00947741" w:rsidRPr="00947741" w:rsidRDefault="00947741" w:rsidP="00947741">
      <w:pPr>
        <w:spacing w:line="360" w:lineRule="auto"/>
        <w:jc w:val="both"/>
        <w:rPr>
          <w:bCs/>
          <w:i/>
        </w:rPr>
      </w:pPr>
      <w:r w:rsidRPr="00947741">
        <w:rPr>
          <w:bCs/>
          <w:i/>
        </w:rPr>
        <w:t>Las provisiones se determinan como el resultado de estimaciones basadas en la experiencia sobre la incobrabilidad o riesgo del rubro de que se trate.</w:t>
      </w:r>
    </w:p>
    <w:p w14:paraId="32E75F29" w14:textId="77777777" w:rsidR="00947741" w:rsidRPr="00947741" w:rsidRDefault="00947741" w:rsidP="00947741">
      <w:pPr>
        <w:spacing w:line="360" w:lineRule="auto"/>
        <w:jc w:val="both"/>
        <w:rPr>
          <w:bCs/>
          <w:i/>
          <w:sz w:val="12"/>
          <w:szCs w:val="12"/>
        </w:rPr>
      </w:pPr>
      <w:bookmarkStart w:id="57" w:name="_Toc191191231"/>
      <w:bookmarkStart w:id="58" w:name="_Toc155686862"/>
    </w:p>
    <w:p w14:paraId="32E75F2A" w14:textId="5A447791" w:rsidR="00947741" w:rsidRPr="00947741" w:rsidRDefault="00186C6B" w:rsidP="00947741">
      <w:pPr>
        <w:spacing w:line="360" w:lineRule="auto"/>
        <w:jc w:val="both"/>
        <w:rPr>
          <w:b/>
          <w:bCs/>
          <w:i/>
          <w:iCs/>
        </w:rPr>
      </w:pPr>
      <w:bookmarkStart w:id="59" w:name="_Toc208202806"/>
      <w:bookmarkStart w:id="60" w:name="_Toc207181384"/>
      <w:r>
        <w:rPr>
          <w:b/>
          <w:bCs/>
          <w:i/>
          <w:iCs/>
        </w:rPr>
        <w:t>5</w:t>
      </w:r>
      <w:r w:rsidR="00947741" w:rsidRPr="00947741">
        <w:rPr>
          <w:b/>
          <w:bCs/>
          <w:i/>
          <w:iCs/>
        </w:rPr>
        <w:t>-11) Patrimonio</w:t>
      </w:r>
      <w:bookmarkEnd w:id="57"/>
      <w:bookmarkEnd w:id="58"/>
      <w:bookmarkEnd w:id="59"/>
      <w:bookmarkEnd w:id="60"/>
    </w:p>
    <w:p w14:paraId="32E75F2B" w14:textId="77777777" w:rsidR="00947741" w:rsidRPr="00947741" w:rsidRDefault="00947741" w:rsidP="00947741">
      <w:pPr>
        <w:spacing w:line="360" w:lineRule="auto"/>
        <w:jc w:val="both"/>
        <w:rPr>
          <w:b/>
          <w:bCs/>
          <w:i/>
        </w:rPr>
      </w:pPr>
      <w:r w:rsidRPr="00947741">
        <w:rPr>
          <w:bCs/>
          <w:i/>
        </w:rPr>
        <w:t xml:space="preserve">La partida de Patrimonio está conformada por el rubro de </w:t>
      </w:r>
      <w:r w:rsidRPr="00947741">
        <w:rPr>
          <w:b/>
          <w:bCs/>
          <w:i/>
        </w:rPr>
        <w:t>Patrimonio Público Dominicano</w:t>
      </w:r>
      <w:r w:rsidRPr="00947741">
        <w:rPr>
          <w:bCs/>
          <w:i/>
        </w:rPr>
        <w:t xml:space="preserve">, derivada de la diferencia entre el total del activo y del pasivo de la entidad económica denominada “Gobierno Central”, más el ahorro o desahorro acumulado proveniente de los sucesivos ejercicios fiscales, así como las donaciones y contribuciones de capital internas y externas recibidas, el </w:t>
      </w:r>
      <w:r w:rsidRPr="00947741">
        <w:rPr>
          <w:b/>
          <w:bCs/>
          <w:i/>
        </w:rPr>
        <w:t>Patrimonio</w:t>
      </w:r>
      <w:r w:rsidRPr="00947741">
        <w:rPr>
          <w:bCs/>
          <w:i/>
        </w:rPr>
        <w:t xml:space="preserve"> </w:t>
      </w:r>
      <w:r w:rsidRPr="00947741">
        <w:rPr>
          <w:b/>
          <w:bCs/>
          <w:i/>
        </w:rPr>
        <w:t>Institucional</w:t>
      </w:r>
      <w:r w:rsidRPr="00947741">
        <w:rPr>
          <w:bCs/>
          <w:i/>
        </w:rPr>
        <w:t xml:space="preserve"> proveniente de las Instituciones Descentralizadas o Autónomas y de la Seguridad Social y el </w:t>
      </w:r>
      <w:r w:rsidRPr="00947741">
        <w:rPr>
          <w:b/>
          <w:bCs/>
          <w:i/>
        </w:rPr>
        <w:t>Capital Público,</w:t>
      </w:r>
      <w:r w:rsidRPr="00947741">
        <w:rPr>
          <w:bCs/>
          <w:i/>
        </w:rPr>
        <w:t xml:space="preserve"> el cual consiste en el registro  de carácter transitorio que refleja los movimientos positivos con respecto a la construcción de bienes de dominio público, de la Administración Central, de los Organismos Descentralizados y de las Instituciones de la Seguridad Social, que conforman el denominado </w:t>
      </w:r>
      <w:r w:rsidRPr="00947741">
        <w:rPr>
          <w:b/>
          <w:bCs/>
          <w:i/>
        </w:rPr>
        <w:t>Patrimonio Público.</w:t>
      </w:r>
    </w:p>
    <w:p w14:paraId="32E75F2C" w14:textId="77777777" w:rsidR="00947741" w:rsidRPr="00947741" w:rsidRDefault="00947741" w:rsidP="00947741">
      <w:pPr>
        <w:spacing w:line="360" w:lineRule="auto"/>
        <w:jc w:val="both"/>
        <w:rPr>
          <w:bCs/>
          <w:i/>
        </w:rPr>
      </w:pPr>
      <w:r w:rsidRPr="00947741">
        <w:rPr>
          <w:bCs/>
          <w:i/>
        </w:rPr>
        <w:t>Las transferencias de capital recibidas en efectivo, procedentes del Sector Privado y del Sector Público, se registran y exponen a su valor nominal, y en los casos de transferencias de bienes, por su valor de mercado.</w:t>
      </w:r>
    </w:p>
    <w:p w14:paraId="32E75F2D" w14:textId="77777777" w:rsidR="00947741" w:rsidRPr="00947741" w:rsidRDefault="00947741" w:rsidP="00947741">
      <w:pPr>
        <w:spacing w:line="360" w:lineRule="auto"/>
        <w:jc w:val="both"/>
        <w:rPr>
          <w:bCs/>
          <w:i/>
        </w:rPr>
      </w:pPr>
      <w:r w:rsidRPr="00947741">
        <w:rPr>
          <w:bCs/>
          <w:i/>
        </w:rPr>
        <w:t>Las donaciones de capital recibidas en efectivo, procedentes de Gobiernos Extranjeros, Organismos Internacionales y del Sector Privado Externo, recibidas en moneda extranjera, se registran al tipo de cambio vigente a la fecha del ingreso de los fondos.</w:t>
      </w:r>
    </w:p>
    <w:p w14:paraId="32E75F2E" w14:textId="77777777" w:rsidR="00947741" w:rsidRDefault="00947741" w:rsidP="00947741">
      <w:pPr>
        <w:spacing w:line="360" w:lineRule="auto"/>
        <w:jc w:val="both"/>
        <w:rPr>
          <w:bCs/>
          <w:i/>
        </w:rPr>
      </w:pPr>
      <w:r w:rsidRPr="00947741">
        <w:rPr>
          <w:bCs/>
          <w:i/>
        </w:rPr>
        <w:t>Los resultados de la cuenta corriente expresan las diferencias entre los ingresos y los egresos obtenidos a través de la gestión fiscal de la entidad económica, para el ejercicio contable de que se trate.</w:t>
      </w:r>
    </w:p>
    <w:p w14:paraId="32E75F2F" w14:textId="77777777" w:rsidR="00947741" w:rsidRDefault="00947741" w:rsidP="00947741">
      <w:pPr>
        <w:spacing w:line="360" w:lineRule="auto"/>
        <w:jc w:val="both"/>
        <w:rPr>
          <w:bCs/>
          <w:i/>
        </w:rPr>
      </w:pPr>
    </w:p>
    <w:p w14:paraId="32E75F30" w14:textId="77777777" w:rsidR="00947741" w:rsidRPr="00947741" w:rsidRDefault="00947741" w:rsidP="00947741">
      <w:pPr>
        <w:spacing w:line="360" w:lineRule="auto"/>
        <w:jc w:val="both"/>
        <w:rPr>
          <w:bCs/>
          <w:i/>
        </w:rPr>
      </w:pPr>
    </w:p>
    <w:p w14:paraId="32E75F31" w14:textId="77777777" w:rsidR="00947741" w:rsidRPr="00947741" w:rsidRDefault="00947741" w:rsidP="00947741">
      <w:pPr>
        <w:spacing w:line="360" w:lineRule="auto"/>
        <w:jc w:val="both"/>
        <w:rPr>
          <w:b/>
          <w:bCs/>
          <w:i/>
          <w:iCs/>
          <w:sz w:val="12"/>
          <w:szCs w:val="12"/>
        </w:rPr>
      </w:pPr>
      <w:bookmarkStart w:id="61" w:name="_Toc208202807"/>
      <w:bookmarkStart w:id="62" w:name="_Toc207181385"/>
      <w:bookmarkStart w:id="63" w:name="_Toc196626060"/>
      <w:bookmarkStart w:id="64" w:name="_Toc191191232"/>
      <w:bookmarkStart w:id="65" w:name="_Toc155686863"/>
    </w:p>
    <w:p w14:paraId="32E75F32" w14:textId="4ED471A7" w:rsidR="00947741" w:rsidRPr="00947741" w:rsidRDefault="00186C6B" w:rsidP="00947741">
      <w:pPr>
        <w:spacing w:line="360" w:lineRule="auto"/>
        <w:jc w:val="both"/>
        <w:rPr>
          <w:b/>
          <w:bCs/>
          <w:i/>
          <w:iCs/>
        </w:rPr>
      </w:pPr>
      <w:r>
        <w:rPr>
          <w:b/>
          <w:bCs/>
          <w:i/>
          <w:iCs/>
        </w:rPr>
        <w:lastRenderedPageBreak/>
        <w:t>5</w:t>
      </w:r>
      <w:r w:rsidR="00947741" w:rsidRPr="00947741">
        <w:rPr>
          <w:b/>
          <w:bCs/>
          <w:i/>
          <w:iCs/>
        </w:rPr>
        <w:t>-12) Reconocimiento de Ingresos y Gastos</w:t>
      </w:r>
      <w:bookmarkEnd w:id="61"/>
      <w:bookmarkEnd w:id="62"/>
      <w:bookmarkEnd w:id="63"/>
      <w:bookmarkEnd w:id="64"/>
      <w:bookmarkEnd w:id="65"/>
    </w:p>
    <w:p w14:paraId="32E75F33" w14:textId="77777777" w:rsidR="00947741" w:rsidRPr="00947741" w:rsidRDefault="00947741" w:rsidP="00947741">
      <w:pPr>
        <w:spacing w:line="360" w:lineRule="auto"/>
        <w:jc w:val="both"/>
        <w:rPr>
          <w:bCs/>
          <w:i/>
        </w:rPr>
      </w:pPr>
      <w:r w:rsidRPr="00947741">
        <w:rPr>
          <w:bCs/>
          <w:i/>
        </w:rPr>
        <w:t xml:space="preserve">Los ingresos son reconocidos en los resultados del ejercicio a medida que se perciben, y los gastos se reconocen como devengado cuando los libramientos para pagos son aprobados por parte de la Contraloría General de la República. </w:t>
      </w:r>
    </w:p>
    <w:p w14:paraId="32E75F34" w14:textId="77777777" w:rsidR="00947741" w:rsidRPr="00947741" w:rsidRDefault="00947741" w:rsidP="00947741">
      <w:pPr>
        <w:spacing w:line="360" w:lineRule="auto"/>
        <w:jc w:val="both"/>
        <w:rPr>
          <w:b/>
          <w:bCs/>
          <w:i/>
          <w:iCs/>
          <w:sz w:val="12"/>
          <w:szCs w:val="12"/>
        </w:rPr>
      </w:pPr>
      <w:bookmarkStart w:id="66" w:name="_Toc207181386"/>
      <w:bookmarkStart w:id="67" w:name="_Toc196626061"/>
      <w:bookmarkStart w:id="68" w:name="_Toc191191233"/>
      <w:bookmarkStart w:id="69" w:name="_Toc155686864"/>
    </w:p>
    <w:p w14:paraId="32E75F35" w14:textId="2153F1CC" w:rsidR="00947741" w:rsidRPr="00947741" w:rsidRDefault="00186C6B" w:rsidP="00947741">
      <w:pPr>
        <w:spacing w:line="360" w:lineRule="auto"/>
        <w:jc w:val="both"/>
        <w:rPr>
          <w:b/>
          <w:bCs/>
          <w:i/>
          <w:iCs/>
        </w:rPr>
      </w:pPr>
      <w:bookmarkStart w:id="70" w:name="_Toc208202808"/>
      <w:r>
        <w:rPr>
          <w:b/>
          <w:bCs/>
          <w:i/>
          <w:iCs/>
        </w:rPr>
        <w:t>5</w:t>
      </w:r>
      <w:r w:rsidR="00947741" w:rsidRPr="00947741">
        <w:rPr>
          <w:b/>
          <w:bCs/>
          <w:i/>
          <w:iCs/>
        </w:rPr>
        <w:t>-13) Ganancias y Pérdidas en Cambio y Saldos en Moneda Extranjera</w:t>
      </w:r>
      <w:bookmarkEnd w:id="66"/>
      <w:bookmarkEnd w:id="67"/>
      <w:bookmarkEnd w:id="68"/>
      <w:bookmarkEnd w:id="69"/>
      <w:bookmarkEnd w:id="70"/>
    </w:p>
    <w:p w14:paraId="32E75F36" w14:textId="77777777" w:rsidR="00947741" w:rsidRPr="00947741" w:rsidRDefault="00947741" w:rsidP="00947741">
      <w:pPr>
        <w:spacing w:line="360" w:lineRule="auto"/>
        <w:jc w:val="both"/>
        <w:rPr>
          <w:bCs/>
          <w:i/>
        </w:rPr>
      </w:pPr>
      <w:r w:rsidRPr="00947741">
        <w:rPr>
          <w:bCs/>
          <w:i/>
        </w:rPr>
        <w:t>Los activos y pasivos en moneda extranjera se registran al tipo de cambio de la fecha en que se realizan las transacciones y se expresan en pesos dominicanos al cierre del período contable, utilizando la tasa oficial del Banco Central de la República Dominicana a esa fecha.</w:t>
      </w:r>
    </w:p>
    <w:p w14:paraId="32E75F37" w14:textId="77777777" w:rsidR="00947741" w:rsidRPr="00947741" w:rsidRDefault="00947741" w:rsidP="00947741">
      <w:pPr>
        <w:spacing w:line="360" w:lineRule="auto"/>
        <w:jc w:val="both"/>
        <w:rPr>
          <w:bCs/>
          <w:i/>
          <w:sz w:val="12"/>
          <w:szCs w:val="12"/>
        </w:rPr>
      </w:pPr>
    </w:p>
    <w:p w14:paraId="32E75F38" w14:textId="77777777" w:rsidR="00947741" w:rsidRPr="00947741" w:rsidRDefault="00947741" w:rsidP="00947741">
      <w:pPr>
        <w:spacing w:line="360" w:lineRule="auto"/>
        <w:jc w:val="both"/>
        <w:rPr>
          <w:bCs/>
          <w:i/>
        </w:rPr>
      </w:pPr>
      <w:r w:rsidRPr="00947741">
        <w:rPr>
          <w:b/>
          <w:bCs/>
          <w:i/>
        </w:rPr>
        <w:t>Nota 6: Políticas contables</w:t>
      </w:r>
      <w:r w:rsidRPr="00947741">
        <w:rPr>
          <w:bCs/>
          <w:i/>
        </w:rPr>
        <w:t xml:space="preserve"> </w:t>
      </w:r>
    </w:p>
    <w:p w14:paraId="32E75F39" w14:textId="7FF65708" w:rsidR="00947741" w:rsidRPr="00947741" w:rsidRDefault="00907FC1" w:rsidP="00947741">
      <w:pPr>
        <w:spacing w:line="360" w:lineRule="auto"/>
        <w:jc w:val="both"/>
        <w:rPr>
          <w:b/>
          <w:bCs/>
          <w:i/>
        </w:rPr>
      </w:pPr>
      <w:bookmarkStart w:id="71" w:name="_Toc208202778"/>
      <w:bookmarkStart w:id="72" w:name="_Toc207181356"/>
      <w:bookmarkStart w:id="73" w:name="_Toc191191203"/>
      <w:bookmarkStart w:id="74" w:name="_Toc180760081"/>
      <w:bookmarkStart w:id="75" w:name="_Toc155686838"/>
      <w:r>
        <w:rPr>
          <w:b/>
          <w:bCs/>
          <w:i/>
        </w:rPr>
        <w:t>A</w:t>
      </w:r>
      <w:r w:rsidR="00947741" w:rsidRPr="00947741">
        <w:rPr>
          <w:b/>
          <w:bCs/>
          <w:i/>
        </w:rPr>
        <w:t>) Bienes Económicos</w:t>
      </w:r>
      <w:bookmarkEnd w:id="71"/>
      <w:bookmarkEnd w:id="72"/>
      <w:bookmarkEnd w:id="73"/>
      <w:bookmarkEnd w:id="74"/>
      <w:bookmarkEnd w:id="75"/>
    </w:p>
    <w:p w14:paraId="32E75F3A" w14:textId="77777777" w:rsidR="00947741" w:rsidRPr="00947741" w:rsidRDefault="00947741" w:rsidP="00947741">
      <w:pPr>
        <w:spacing w:line="360" w:lineRule="auto"/>
        <w:jc w:val="both"/>
        <w:rPr>
          <w:bCs/>
          <w:i/>
        </w:rPr>
      </w:pPr>
      <w:r w:rsidRPr="00947741">
        <w:rPr>
          <w:bCs/>
          <w:i/>
        </w:rPr>
        <w:t>La información contable presentada se refiere a bienes, derechos y obligaciones que poseen valor económico, susceptibles de ser valuados objetivamente en términos monetarios.</w:t>
      </w:r>
    </w:p>
    <w:p w14:paraId="32E75F3B" w14:textId="77777777" w:rsidR="00947741" w:rsidRPr="00947741" w:rsidRDefault="00947741" w:rsidP="00947741">
      <w:pPr>
        <w:spacing w:line="360" w:lineRule="auto"/>
        <w:jc w:val="both"/>
        <w:rPr>
          <w:b/>
          <w:bCs/>
          <w:i/>
          <w:sz w:val="12"/>
          <w:szCs w:val="12"/>
        </w:rPr>
      </w:pPr>
      <w:bookmarkStart w:id="76" w:name="_Toc191191204"/>
      <w:bookmarkStart w:id="77" w:name="_Toc180760082"/>
      <w:bookmarkStart w:id="78" w:name="_Toc155686839"/>
    </w:p>
    <w:p w14:paraId="32E75F3C" w14:textId="47885B57" w:rsidR="00947741" w:rsidRPr="00947741" w:rsidRDefault="00907FC1" w:rsidP="00947741">
      <w:pPr>
        <w:spacing w:line="360" w:lineRule="auto"/>
        <w:jc w:val="both"/>
        <w:rPr>
          <w:b/>
          <w:bCs/>
          <w:i/>
        </w:rPr>
      </w:pPr>
      <w:bookmarkStart w:id="79" w:name="_Toc208202779"/>
      <w:bookmarkStart w:id="80" w:name="_Toc207181357"/>
      <w:r>
        <w:rPr>
          <w:b/>
          <w:bCs/>
          <w:i/>
        </w:rPr>
        <w:t>B</w:t>
      </w:r>
      <w:r w:rsidR="00947741" w:rsidRPr="00947741">
        <w:rPr>
          <w:b/>
          <w:bCs/>
          <w:i/>
        </w:rPr>
        <w:t>) Reconocimiento de las Transacciones</w:t>
      </w:r>
      <w:bookmarkEnd w:id="76"/>
      <w:bookmarkEnd w:id="77"/>
      <w:bookmarkEnd w:id="78"/>
      <w:bookmarkEnd w:id="79"/>
      <w:bookmarkEnd w:id="80"/>
    </w:p>
    <w:p w14:paraId="32E75F3D" w14:textId="77777777" w:rsidR="00947741" w:rsidRPr="00947741" w:rsidRDefault="00947741" w:rsidP="00947741">
      <w:pPr>
        <w:spacing w:line="360" w:lineRule="auto"/>
        <w:jc w:val="both"/>
        <w:rPr>
          <w:bCs/>
          <w:i/>
        </w:rPr>
      </w:pPr>
      <w:r w:rsidRPr="00947741">
        <w:rPr>
          <w:bCs/>
          <w:i/>
        </w:rPr>
        <w:t xml:space="preserve">Las transacciones que afectan a las entidades económicas determinan modificaciones en el patrimonio, así como en los resultados de las operaciones. El momento en el cual se considera modificado el patrimonio y los resultados de la entidad, es con el devengamiento, además se considera consumida la apropiación y ejecutado el presupuesto.   </w:t>
      </w:r>
      <w:bookmarkStart w:id="81" w:name="_Toc180760083"/>
      <w:bookmarkStart w:id="82" w:name="_Toc177875159"/>
      <w:bookmarkStart w:id="83" w:name="_Toc155686840"/>
      <w:bookmarkStart w:id="84" w:name="_Toc208202780"/>
      <w:bookmarkStart w:id="85" w:name="_Toc207181358"/>
      <w:bookmarkStart w:id="86" w:name="_Toc191191205"/>
    </w:p>
    <w:p w14:paraId="32E75F3E" w14:textId="77777777" w:rsidR="00947741" w:rsidRPr="00184B23" w:rsidRDefault="00947741" w:rsidP="00947741">
      <w:pPr>
        <w:spacing w:line="360" w:lineRule="auto"/>
        <w:jc w:val="both"/>
        <w:rPr>
          <w:b/>
          <w:bCs/>
          <w:i/>
          <w:sz w:val="12"/>
          <w:szCs w:val="12"/>
        </w:rPr>
      </w:pPr>
    </w:p>
    <w:p w14:paraId="32E75F3F" w14:textId="045EFDA2" w:rsidR="00947741" w:rsidRPr="00947741" w:rsidRDefault="00907FC1" w:rsidP="00947741">
      <w:pPr>
        <w:spacing w:line="360" w:lineRule="auto"/>
        <w:jc w:val="both"/>
        <w:rPr>
          <w:b/>
          <w:bCs/>
          <w:i/>
        </w:rPr>
      </w:pPr>
      <w:r>
        <w:rPr>
          <w:b/>
          <w:bCs/>
          <w:i/>
        </w:rPr>
        <w:t>C</w:t>
      </w:r>
      <w:r w:rsidR="00947741" w:rsidRPr="00947741">
        <w:rPr>
          <w:b/>
          <w:bCs/>
          <w:i/>
        </w:rPr>
        <w:t>) Registro e Imputación Presupuestaria</w:t>
      </w:r>
      <w:bookmarkEnd w:id="81"/>
      <w:bookmarkEnd w:id="82"/>
      <w:bookmarkEnd w:id="83"/>
      <w:bookmarkEnd w:id="84"/>
      <w:bookmarkEnd w:id="85"/>
      <w:bookmarkEnd w:id="86"/>
    </w:p>
    <w:p w14:paraId="32E75F40" w14:textId="77777777" w:rsidR="00947741" w:rsidRPr="00947741" w:rsidRDefault="00947741" w:rsidP="00947741">
      <w:pPr>
        <w:spacing w:line="360" w:lineRule="auto"/>
        <w:jc w:val="both"/>
        <w:rPr>
          <w:bCs/>
          <w:i/>
        </w:rPr>
      </w:pPr>
      <w:r w:rsidRPr="00947741">
        <w:rPr>
          <w:bCs/>
          <w:i/>
        </w:rPr>
        <w:t xml:space="preserve">El Sistema de Contabilidad Gubernamental, registra de acuerdo al Plan de Cuentas Contable y a los procedimientos de registros adoptados, la obtención de los ingresos y la ejecución de los gastos autorizados en el presupuesto del Sector Público e imputadas a las partidas presupuestarias, de conformidad con las normas, criterios y momentos contables establecidos por la Dirección General de Contabilidad Gubernamental (DIGECOG). Las transacciones presupuestarias de gastos se registran en el sistema por el método de partida doble, en reconocimiento de la obligación o gasto devengado y pagado o extinción de la </w:t>
      </w:r>
      <w:r w:rsidRPr="00947741">
        <w:rPr>
          <w:bCs/>
          <w:i/>
        </w:rPr>
        <w:lastRenderedPageBreak/>
        <w:t xml:space="preserve">obligación. Así mismo, las transacciones relativas a los ingresos deberán registrarse en la etapa percibida.    </w:t>
      </w:r>
    </w:p>
    <w:p w14:paraId="32E75F41" w14:textId="77777777" w:rsidR="00947741" w:rsidRPr="00184B23" w:rsidRDefault="00947741" w:rsidP="00947741">
      <w:pPr>
        <w:spacing w:line="360" w:lineRule="auto"/>
        <w:jc w:val="both"/>
        <w:rPr>
          <w:b/>
          <w:bCs/>
          <w:i/>
          <w:sz w:val="12"/>
          <w:szCs w:val="12"/>
        </w:rPr>
      </w:pPr>
      <w:bookmarkStart w:id="87" w:name="_Toc191191207"/>
      <w:bookmarkStart w:id="88" w:name="_Toc180760085"/>
      <w:bookmarkStart w:id="89" w:name="_Toc155686842"/>
    </w:p>
    <w:p w14:paraId="32E75F42" w14:textId="495AA428" w:rsidR="00947741" w:rsidRPr="00947741" w:rsidRDefault="00907FC1" w:rsidP="00947741">
      <w:pPr>
        <w:spacing w:line="360" w:lineRule="auto"/>
        <w:jc w:val="both"/>
        <w:rPr>
          <w:b/>
          <w:bCs/>
          <w:i/>
        </w:rPr>
      </w:pPr>
      <w:bookmarkStart w:id="90" w:name="_Toc208202782"/>
      <w:bookmarkStart w:id="91" w:name="_Toc207181360"/>
      <w:r>
        <w:rPr>
          <w:b/>
          <w:bCs/>
          <w:i/>
        </w:rPr>
        <w:t>D</w:t>
      </w:r>
      <w:r w:rsidR="00947741" w:rsidRPr="00947741">
        <w:rPr>
          <w:b/>
          <w:bCs/>
          <w:i/>
        </w:rPr>
        <w:t>) Exposición</w:t>
      </w:r>
      <w:bookmarkEnd w:id="87"/>
      <w:bookmarkEnd w:id="88"/>
      <w:bookmarkEnd w:id="89"/>
      <w:bookmarkEnd w:id="90"/>
      <w:bookmarkEnd w:id="91"/>
    </w:p>
    <w:p w14:paraId="32E75F43" w14:textId="77777777" w:rsidR="00947741" w:rsidRPr="00947741" w:rsidRDefault="00947741" w:rsidP="00947741">
      <w:pPr>
        <w:spacing w:line="360" w:lineRule="auto"/>
        <w:jc w:val="both"/>
        <w:rPr>
          <w:bCs/>
          <w:i/>
        </w:rPr>
      </w:pPr>
      <w:r w:rsidRPr="00947741">
        <w:rPr>
          <w:bCs/>
          <w:i/>
        </w:rPr>
        <w:t xml:space="preserve">Los Estados Financieros, deben contener o exponer toda la información necesaria para expresar adecuadamente la situación económica-financiera, los recursos y gastos de la entidad económica de manera que los usuarios de la información puedan tomar las decisiones pertinentes.  </w:t>
      </w:r>
    </w:p>
    <w:p w14:paraId="32E75F44" w14:textId="77777777" w:rsidR="00947741" w:rsidRPr="00184B23" w:rsidRDefault="00947741" w:rsidP="00947741">
      <w:pPr>
        <w:spacing w:line="360" w:lineRule="auto"/>
        <w:jc w:val="both"/>
        <w:rPr>
          <w:bCs/>
          <w:i/>
          <w:sz w:val="12"/>
          <w:szCs w:val="12"/>
        </w:rPr>
      </w:pPr>
    </w:p>
    <w:p w14:paraId="32E75F45" w14:textId="1F58C69F" w:rsidR="00947741" w:rsidRPr="00947741" w:rsidRDefault="00907FC1" w:rsidP="00947741">
      <w:pPr>
        <w:spacing w:line="360" w:lineRule="auto"/>
        <w:jc w:val="both"/>
        <w:rPr>
          <w:b/>
          <w:bCs/>
          <w:i/>
        </w:rPr>
      </w:pPr>
      <w:bookmarkStart w:id="92" w:name="_Toc207181362"/>
      <w:bookmarkStart w:id="93" w:name="_Toc191191209"/>
      <w:bookmarkStart w:id="94" w:name="_Toc180760087"/>
      <w:bookmarkStart w:id="95" w:name="_Toc155686844"/>
      <w:bookmarkStart w:id="96" w:name="_Toc208202784"/>
      <w:r>
        <w:rPr>
          <w:b/>
          <w:bCs/>
          <w:i/>
        </w:rPr>
        <w:t>E</w:t>
      </w:r>
      <w:r w:rsidR="00947741" w:rsidRPr="00947741">
        <w:rPr>
          <w:b/>
          <w:bCs/>
          <w:i/>
        </w:rPr>
        <w:t>) Uniformidad</w:t>
      </w:r>
      <w:bookmarkEnd w:id="92"/>
      <w:bookmarkEnd w:id="93"/>
      <w:bookmarkEnd w:id="94"/>
      <w:bookmarkEnd w:id="95"/>
      <w:bookmarkEnd w:id="96"/>
    </w:p>
    <w:p w14:paraId="32E75F46" w14:textId="77777777" w:rsidR="00947741" w:rsidRPr="00947741" w:rsidRDefault="00947741" w:rsidP="00947741">
      <w:pPr>
        <w:spacing w:line="360" w:lineRule="auto"/>
        <w:jc w:val="both"/>
        <w:rPr>
          <w:bCs/>
          <w:i/>
        </w:rPr>
      </w:pPr>
      <w:r w:rsidRPr="00947741">
        <w:rPr>
          <w:bCs/>
          <w:i/>
        </w:rPr>
        <w:t>La interpretación y análisis de los Estados Financieros, requieren la posibilidad de comparar la situación financiera de la entidad económica y los resultados de operaciones en distintas épocas de actividad, en consecuencia, es necesario que la aplicación de las prácticas y procedimientos contables se haga de manera uniforme y consistente, tanto para el período a que se refieren los Estados Financieros así como para los anteriores.</w:t>
      </w:r>
    </w:p>
    <w:p w14:paraId="32E75F47" w14:textId="77777777" w:rsidR="00947741" w:rsidRPr="00184B23" w:rsidRDefault="00947741" w:rsidP="00947741">
      <w:pPr>
        <w:spacing w:line="360" w:lineRule="auto"/>
        <w:jc w:val="both"/>
        <w:rPr>
          <w:bCs/>
          <w:i/>
          <w:sz w:val="12"/>
          <w:szCs w:val="12"/>
        </w:rPr>
      </w:pPr>
    </w:p>
    <w:p w14:paraId="32E75F48" w14:textId="77777777" w:rsidR="00947741" w:rsidRPr="00947741" w:rsidRDefault="00947741" w:rsidP="00947741">
      <w:pPr>
        <w:spacing w:line="360" w:lineRule="auto"/>
        <w:jc w:val="both"/>
        <w:rPr>
          <w:bCs/>
          <w:i/>
        </w:rPr>
      </w:pPr>
      <w:r w:rsidRPr="00947741">
        <w:rPr>
          <w:bCs/>
          <w:i/>
        </w:rPr>
        <w:t xml:space="preserve">La identificación de las transacciones de la entidad económica se efectúa sobre la base de la utilización de los clasificadores de cuentas presupuestarias y contables. La aplicación uniforme de éstos, hace compatible la información que generan todas las áreas de gestión del Gobierno Central. </w:t>
      </w:r>
    </w:p>
    <w:p w14:paraId="32E75F49" w14:textId="77777777" w:rsidR="00947741" w:rsidRPr="00184B23" w:rsidRDefault="00947741" w:rsidP="00947741">
      <w:pPr>
        <w:spacing w:line="360" w:lineRule="auto"/>
        <w:jc w:val="both"/>
        <w:rPr>
          <w:bCs/>
          <w:i/>
          <w:sz w:val="12"/>
          <w:szCs w:val="12"/>
        </w:rPr>
      </w:pPr>
      <w:r w:rsidRPr="00947741">
        <w:rPr>
          <w:bCs/>
          <w:i/>
        </w:rPr>
        <w:t xml:space="preserve">  </w:t>
      </w:r>
      <w:bookmarkStart w:id="97" w:name="_Toc191191210"/>
      <w:bookmarkStart w:id="98" w:name="_Toc180760088"/>
      <w:bookmarkStart w:id="99" w:name="_Toc155686845"/>
    </w:p>
    <w:p w14:paraId="32E75F4A" w14:textId="46D8B937" w:rsidR="00947741" w:rsidRPr="00947741" w:rsidRDefault="00907FC1" w:rsidP="00947741">
      <w:pPr>
        <w:spacing w:line="360" w:lineRule="auto"/>
        <w:jc w:val="both"/>
        <w:rPr>
          <w:b/>
          <w:bCs/>
          <w:i/>
        </w:rPr>
      </w:pPr>
      <w:bookmarkStart w:id="100" w:name="_Toc208202785"/>
      <w:bookmarkStart w:id="101" w:name="_Toc207181363"/>
      <w:r>
        <w:rPr>
          <w:b/>
          <w:bCs/>
          <w:i/>
        </w:rPr>
        <w:t>F</w:t>
      </w:r>
      <w:r w:rsidR="00947741" w:rsidRPr="00947741">
        <w:rPr>
          <w:b/>
          <w:bCs/>
          <w:i/>
        </w:rPr>
        <w:t>) Prudencia</w:t>
      </w:r>
      <w:bookmarkEnd w:id="97"/>
      <w:bookmarkEnd w:id="98"/>
      <w:bookmarkEnd w:id="99"/>
      <w:bookmarkEnd w:id="100"/>
      <w:bookmarkEnd w:id="101"/>
    </w:p>
    <w:p w14:paraId="32E75F4B" w14:textId="77777777" w:rsidR="00947741" w:rsidRPr="00947741" w:rsidRDefault="00947741" w:rsidP="00947741">
      <w:pPr>
        <w:spacing w:line="360" w:lineRule="auto"/>
        <w:jc w:val="both"/>
        <w:rPr>
          <w:bCs/>
          <w:i/>
        </w:rPr>
      </w:pPr>
      <w:r w:rsidRPr="00947741">
        <w:rPr>
          <w:bCs/>
          <w:i/>
        </w:rPr>
        <w:t>Cuando existen alternativas de procedimiento contable idóneo, igualmente válidas para tratar la medición de un mismo hecho económico-financiero, se adopta el que muestre un resultado y la posición financiera más cercana a la realidad.</w:t>
      </w:r>
    </w:p>
    <w:p w14:paraId="32E75F4C" w14:textId="77777777" w:rsidR="00947741" w:rsidRPr="00184B23" w:rsidRDefault="00947741" w:rsidP="00947741">
      <w:pPr>
        <w:spacing w:line="360" w:lineRule="auto"/>
        <w:jc w:val="both"/>
        <w:rPr>
          <w:b/>
          <w:bCs/>
          <w:i/>
          <w:sz w:val="12"/>
          <w:szCs w:val="12"/>
        </w:rPr>
      </w:pPr>
      <w:bookmarkStart w:id="102" w:name="_Toc208202786"/>
      <w:bookmarkStart w:id="103" w:name="_Toc207181364"/>
      <w:bookmarkStart w:id="104" w:name="_Toc191191211"/>
      <w:bookmarkStart w:id="105" w:name="_Toc180760089"/>
      <w:bookmarkStart w:id="106" w:name="_Toc155686846"/>
    </w:p>
    <w:p w14:paraId="32E75F4D" w14:textId="3D39EC3A" w:rsidR="00947741" w:rsidRPr="00947741" w:rsidRDefault="00907FC1" w:rsidP="00947741">
      <w:pPr>
        <w:spacing w:line="360" w:lineRule="auto"/>
        <w:jc w:val="both"/>
        <w:rPr>
          <w:b/>
          <w:bCs/>
          <w:i/>
        </w:rPr>
      </w:pPr>
      <w:r>
        <w:rPr>
          <w:b/>
          <w:bCs/>
          <w:i/>
        </w:rPr>
        <w:t>G</w:t>
      </w:r>
      <w:r w:rsidR="00947741" w:rsidRPr="00947741">
        <w:rPr>
          <w:b/>
          <w:bCs/>
          <w:i/>
        </w:rPr>
        <w:t>) No Compensación</w:t>
      </w:r>
      <w:bookmarkEnd w:id="102"/>
      <w:bookmarkEnd w:id="103"/>
      <w:bookmarkEnd w:id="104"/>
      <w:bookmarkEnd w:id="105"/>
      <w:bookmarkEnd w:id="106"/>
    </w:p>
    <w:p w14:paraId="32E75F4E" w14:textId="77777777" w:rsidR="00947741" w:rsidRPr="00947741" w:rsidRDefault="00947741" w:rsidP="00947741">
      <w:pPr>
        <w:spacing w:line="360" w:lineRule="auto"/>
        <w:jc w:val="both"/>
        <w:rPr>
          <w:bCs/>
          <w:i/>
        </w:rPr>
      </w:pPr>
      <w:r w:rsidRPr="00947741">
        <w:rPr>
          <w:bCs/>
          <w:i/>
        </w:rPr>
        <w:t>En ningún caso se realiza compensación de partidas del activo y del pasivo del Balance General, ni de las partidas de ingresos y gastos, que constituyen el Estado de Resultados económico-patrimonial, ni los gastos e ingresos que integran el Estado de Liquidación del Presupuesto.  Los elementos que componen las distintas partidas del activo y del pasivo son valoradas separadamente.</w:t>
      </w:r>
    </w:p>
    <w:p w14:paraId="32E75F4F" w14:textId="77777777" w:rsidR="00947741" w:rsidRPr="00947741" w:rsidRDefault="00947741" w:rsidP="00947741">
      <w:pPr>
        <w:spacing w:line="360" w:lineRule="auto"/>
        <w:jc w:val="both"/>
        <w:rPr>
          <w:bCs/>
          <w:i/>
        </w:rPr>
      </w:pPr>
      <w:bookmarkStart w:id="107" w:name="_Toc191191212"/>
      <w:bookmarkStart w:id="108" w:name="_Toc180760090"/>
    </w:p>
    <w:p w14:paraId="32E75F50" w14:textId="0BF93B0F" w:rsidR="00947741" w:rsidRPr="00947741" w:rsidRDefault="00907FC1" w:rsidP="00947741">
      <w:pPr>
        <w:spacing w:line="360" w:lineRule="auto"/>
        <w:jc w:val="both"/>
        <w:rPr>
          <w:b/>
          <w:bCs/>
          <w:i/>
        </w:rPr>
      </w:pPr>
      <w:bookmarkStart w:id="109" w:name="_Toc208202787"/>
      <w:bookmarkStart w:id="110" w:name="_Toc207181365"/>
      <w:r>
        <w:rPr>
          <w:b/>
          <w:bCs/>
          <w:i/>
        </w:rPr>
        <w:t>G</w:t>
      </w:r>
      <w:r w:rsidR="00947741" w:rsidRPr="00947741">
        <w:rPr>
          <w:b/>
          <w:bCs/>
          <w:i/>
        </w:rPr>
        <w:t>) Integridad</w:t>
      </w:r>
      <w:bookmarkEnd w:id="107"/>
      <w:bookmarkEnd w:id="108"/>
      <w:bookmarkEnd w:id="109"/>
      <w:bookmarkEnd w:id="110"/>
    </w:p>
    <w:p w14:paraId="32E75F51" w14:textId="77777777" w:rsidR="00947741" w:rsidRPr="00947741" w:rsidRDefault="00947741" w:rsidP="00947741">
      <w:pPr>
        <w:spacing w:line="360" w:lineRule="auto"/>
        <w:jc w:val="both"/>
        <w:rPr>
          <w:bCs/>
          <w:i/>
        </w:rPr>
      </w:pPr>
      <w:r w:rsidRPr="00947741">
        <w:rPr>
          <w:bCs/>
          <w:i/>
        </w:rPr>
        <w:t>Los Estados Financieros del Gobierno Central, constituyen la expresión final de los registros sistemáticos, correspondientes a la totalidad de los hechos financieros y económicos.</w:t>
      </w:r>
    </w:p>
    <w:p w14:paraId="32E75F52" w14:textId="77777777" w:rsidR="00947741" w:rsidRPr="00184B23" w:rsidRDefault="00947741" w:rsidP="00947741">
      <w:pPr>
        <w:spacing w:line="360" w:lineRule="auto"/>
        <w:jc w:val="both"/>
        <w:rPr>
          <w:bCs/>
          <w:i/>
          <w:sz w:val="12"/>
          <w:szCs w:val="12"/>
        </w:rPr>
      </w:pPr>
    </w:p>
    <w:p w14:paraId="32E75F53" w14:textId="148C09FA" w:rsidR="00947741" w:rsidRPr="00947741" w:rsidRDefault="00907FC1" w:rsidP="00947741">
      <w:pPr>
        <w:spacing w:line="360" w:lineRule="auto"/>
        <w:jc w:val="both"/>
        <w:rPr>
          <w:b/>
          <w:bCs/>
          <w:i/>
        </w:rPr>
      </w:pPr>
      <w:bookmarkStart w:id="111" w:name="_Toc208202788"/>
      <w:bookmarkStart w:id="112" w:name="_Toc207181366"/>
      <w:bookmarkStart w:id="113" w:name="_Toc191191213"/>
      <w:bookmarkStart w:id="114" w:name="_Toc180760091"/>
      <w:r>
        <w:rPr>
          <w:b/>
          <w:bCs/>
          <w:i/>
        </w:rPr>
        <w:t>I</w:t>
      </w:r>
      <w:r w:rsidR="00947741" w:rsidRPr="00947741">
        <w:rPr>
          <w:b/>
          <w:bCs/>
          <w:i/>
        </w:rPr>
        <w:t>) Oportunidad</w:t>
      </w:r>
      <w:bookmarkEnd w:id="111"/>
      <w:bookmarkEnd w:id="112"/>
      <w:bookmarkEnd w:id="113"/>
      <w:bookmarkEnd w:id="114"/>
    </w:p>
    <w:p w14:paraId="32E75F54" w14:textId="77777777" w:rsidR="00947741" w:rsidRPr="00947741" w:rsidRDefault="00947741" w:rsidP="00947741">
      <w:pPr>
        <w:spacing w:line="360" w:lineRule="auto"/>
        <w:jc w:val="both"/>
        <w:rPr>
          <w:bCs/>
          <w:i/>
        </w:rPr>
      </w:pPr>
      <w:r w:rsidRPr="00947741">
        <w:rPr>
          <w:bCs/>
          <w:i/>
        </w:rPr>
        <w:t>El Sistema de Contabilidad Gubernamental, comprende el registro, procesamiento y presentación de la información contable en los momentos y circunstancias debidas.</w:t>
      </w:r>
    </w:p>
    <w:p w14:paraId="32E75F55" w14:textId="77777777" w:rsidR="00947741" w:rsidRPr="00184B23" w:rsidRDefault="00947741" w:rsidP="00947741">
      <w:pPr>
        <w:spacing w:line="360" w:lineRule="auto"/>
        <w:jc w:val="both"/>
        <w:rPr>
          <w:b/>
          <w:bCs/>
          <w:i/>
          <w:sz w:val="12"/>
          <w:szCs w:val="12"/>
        </w:rPr>
      </w:pPr>
      <w:bookmarkStart w:id="115" w:name="_Toc208202789"/>
      <w:bookmarkStart w:id="116" w:name="_Toc207181367"/>
      <w:bookmarkStart w:id="117" w:name="_Toc191191214"/>
      <w:bookmarkStart w:id="118" w:name="_Toc180760092"/>
    </w:p>
    <w:p w14:paraId="32E75F56" w14:textId="2E195AC3" w:rsidR="00947741" w:rsidRPr="00947741" w:rsidRDefault="00907FC1" w:rsidP="00947741">
      <w:pPr>
        <w:spacing w:line="360" w:lineRule="auto"/>
        <w:jc w:val="both"/>
        <w:rPr>
          <w:b/>
          <w:bCs/>
          <w:i/>
        </w:rPr>
      </w:pPr>
      <w:r>
        <w:rPr>
          <w:b/>
          <w:bCs/>
          <w:i/>
        </w:rPr>
        <w:t>J</w:t>
      </w:r>
      <w:r w:rsidR="00947741" w:rsidRPr="00947741">
        <w:rPr>
          <w:b/>
          <w:bCs/>
          <w:i/>
        </w:rPr>
        <w:t>) Transparencia</w:t>
      </w:r>
      <w:bookmarkEnd w:id="115"/>
      <w:bookmarkEnd w:id="116"/>
      <w:bookmarkEnd w:id="117"/>
      <w:bookmarkEnd w:id="118"/>
    </w:p>
    <w:p w14:paraId="32E75F57" w14:textId="77777777" w:rsidR="00947741" w:rsidRPr="00947741" w:rsidRDefault="00947741" w:rsidP="00947741">
      <w:pPr>
        <w:spacing w:line="360" w:lineRule="auto"/>
        <w:jc w:val="both"/>
        <w:rPr>
          <w:bCs/>
          <w:i/>
        </w:rPr>
      </w:pPr>
      <w:r w:rsidRPr="00947741">
        <w:rPr>
          <w:bCs/>
          <w:i/>
        </w:rPr>
        <w:t>Los Estados Financieros, informes técnicos y otros reportes emanados del Sistema de Contabilidad Gubernamental, son elaborados para ser presentados a la Cámara de Cuentas, Congreso Nacional, Poder Ejecutivo y disponible a terceros interesados de acuerdo a nuestra ley y a la ley de libre acceso a la información.</w:t>
      </w:r>
    </w:p>
    <w:p w14:paraId="32E75F58" w14:textId="77777777" w:rsidR="00947741" w:rsidRPr="00184B23" w:rsidRDefault="00947741" w:rsidP="00947741">
      <w:pPr>
        <w:spacing w:line="360" w:lineRule="auto"/>
        <w:jc w:val="both"/>
        <w:rPr>
          <w:b/>
          <w:bCs/>
          <w:i/>
          <w:sz w:val="12"/>
          <w:szCs w:val="12"/>
        </w:rPr>
      </w:pPr>
      <w:bookmarkStart w:id="119" w:name="_Toc208202790"/>
      <w:bookmarkStart w:id="120" w:name="_Toc207181368"/>
      <w:bookmarkStart w:id="121" w:name="_Toc191191215"/>
      <w:bookmarkStart w:id="122" w:name="_Toc180760093"/>
    </w:p>
    <w:p w14:paraId="32E75F59" w14:textId="42B80F75" w:rsidR="00947741" w:rsidRPr="00947741" w:rsidRDefault="00907FC1" w:rsidP="00947741">
      <w:pPr>
        <w:spacing w:line="360" w:lineRule="auto"/>
        <w:jc w:val="both"/>
        <w:rPr>
          <w:b/>
          <w:bCs/>
          <w:i/>
        </w:rPr>
      </w:pPr>
      <w:r>
        <w:rPr>
          <w:b/>
          <w:bCs/>
          <w:i/>
        </w:rPr>
        <w:t>K</w:t>
      </w:r>
      <w:r w:rsidR="00947741" w:rsidRPr="00947741">
        <w:rPr>
          <w:b/>
          <w:bCs/>
          <w:i/>
        </w:rPr>
        <w:t>) Legalidad</w:t>
      </w:r>
      <w:bookmarkEnd w:id="119"/>
      <w:bookmarkEnd w:id="120"/>
      <w:bookmarkEnd w:id="121"/>
      <w:bookmarkEnd w:id="122"/>
    </w:p>
    <w:p w14:paraId="32E75F5A" w14:textId="77777777" w:rsidR="00947741" w:rsidRDefault="00947741" w:rsidP="00947741">
      <w:pPr>
        <w:spacing w:line="360" w:lineRule="auto"/>
        <w:jc w:val="both"/>
        <w:rPr>
          <w:bCs/>
          <w:i/>
        </w:rPr>
      </w:pPr>
      <w:r w:rsidRPr="00947741">
        <w:rPr>
          <w:bCs/>
          <w:i/>
        </w:rPr>
        <w:t>Cuando producto de la aplicación y/o interpretación de un principio de contabilidad, se produzcan situaciones que contravengan disposiciones legales vigentes, se considerará la primacía de la legislación respecto a las normas contables. La primacía de registrar y exponer el hecho económico de acuerdo a las disposiciones legales, si se produjere, se consignará en Nota a los Estados Financieros.</w:t>
      </w:r>
      <w:bookmarkStart w:id="123" w:name="_Toc208202791"/>
      <w:bookmarkStart w:id="124" w:name="_Toc207181369"/>
      <w:bookmarkStart w:id="125" w:name="_Toc191191216"/>
      <w:bookmarkStart w:id="126" w:name="_Toc180760094"/>
    </w:p>
    <w:p w14:paraId="32E75F5B" w14:textId="77777777" w:rsidR="00184B23" w:rsidRPr="00184B23" w:rsidRDefault="00184B23" w:rsidP="00947741">
      <w:pPr>
        <w:spacing w:line="360" w:lineRule="auto"/>
        <w:jc w:val="both"/>
        <w:rPr>
          <w:bCs/>
          <w:i/>
          <w:sz w:val="12"/>
          <w:szCs w:val="12"/>
        </w:rPr>
      </w:pPr>
    </w:p>
    <w:p w14:paraId="32E75F5C" w14:textId="701DCD6E" w:rsidR="00947741" w:rsidRPr="00947741" w:rsidRDefault="00907FC1" w:rsidP="00947741">
      <w:pPr>
        <w:spacing w:line="360" w:lineRule="auto"/>
        <w:jc w:val="both"/>
        <w:rPr>
          <w:b/>
          <w:bCs/>
          <w:i/>
        </w:rPr>
      </w:pPr>
      <w:r>
        <w:rPr>
          <w:b/>
          <w:bCs/>
          <w:i/>
        </w:rPr>
        <w:t>L</w:t>
      </w:r>
      <w:r w:rsidR="00947741" w:rsidRPr="00947741">
        <w:rPr>
          <w:b/>
          <w:bCs/>
          <w:i/>
        </w:rPr>
        <w:t xml:space="preserve">) </w:t>
      </w:r>
      <w:bookmarkStart w:id="127" w:name="_Toc155686848"/>
      <w:r w:rsidR="00947741" w:rsidRPr="00947741">
        <w:rPr>
          <w:b/>
          <w:bCs/>
          <w:i/>
        </w:rPr>
        <w:t>Período Contable</w:t>
      </w:r>
      <w:bookmarkEnd w:id="123"/>
      <w:bookmarkEnd w:id="124"/>
      <w:bookmarkEnd w:id="125"/>
      <w:bookmarkEnd w:id="126"/>
      <w:bookmarkEnd w:id="127"/>
    </w:p>
    <w:p w14:paraId="32E75F5D" w14:textId="77777777" w:rsidR="00947741" w:rsidRPr="00947741" w:rsidRDefault="00947741" w:rsidP="00947741">
      <w:pPr>
        <w:spacing w:line="360" w:lineRule="auto"/>
        <w:jc w:val="both"/>
        <w:rPr>
          <w:bCs/>
          <w:i/>
        </w:rPr>
      </w:pPr>
      <w:r w:rsidRPr="00947741">
        <w:rPr>
          <w:bCs/>
          <w:i/>
        </w:rPr>
        <w:t>La ley 126-01 del 27 de Agosto de 2001 establece que el ejercicio del corte anual  para el Gobierno Central y los Organismos, abarca desde el primero (1ero.) de enero al treinta y uno  (31) de Diciembre de cada año.</w:t>
      </w:r>
    </w:p>
    <w:p w14:paraId="32E75F5E" w14:textId="77777777" w:rsidR="00947741" w:rsidRPr="00184B23" w:rsidRDefault="00947741" w:rsidP="00947741">
      <w:pPr>
        <w:spacing w:line="360" w:lineRule="auto"/>
        <w:jc w:val="both"/>
        <w:rPr>
          <w:b/>
          <w:bCs/>
          <w:i/>
          <w:sz w:val="12"/>
          <w:szCs w:val="12"/>
        </w:rPr>
      </w:pPr>
      <w:bookmarkStart w:id="128" w:name="_Toc191191217"/>
      <w:bookmarkStart w:id="129" w:name="_Toc180760095"/>
      <w:bookmarkStart w:id="130" w:name="_Toc155686849"/>
    </w:p>
    <w:p w14:paraId="32E75F5F" w14:textId="4C5287A6" w:rsidR="00947741" w:rsidRPr="00947741" w:rsidRDefault="00907FC1" w:rsidP="00947741">
      <w:pPr>
        <w:spacing w:line="360" w:lineRule="auto"/>
        <w:jc w:val="both"/>
        <w:rPr>
          <w:b/>
          <w:bCs/>
          <w:i/>
        </w:rPr>
      </w:pPr>
      <w:bookmarkStart w:id="131" w:name="_Toc208202792"/>
      <w:bookmarkStart w:id="132" w:name="_Toc207181370"/>
      <w:r>
        <w:rPr>
          <w:b/>
          <w:bCs/>
          <w:i/>
        </w:rPr>
        <w:t>M</w:t>
      </w:r>
      <w:r w:rsidR="00947741" w:rsidRPr="00947741">
        <w:rPr>
          <w:b/>
          <w:bCs/>
          <w:i/>
        </w:rPr>
        <w:t>) Información Comparativa</w:t>
      </w:r>
      <w:bookmarkEnd w:id="128"/>
      <w:bookmarkEnd w:id="129"/>
      <w:bookmarkEnd w:id="131"/>
      <w:bookmarkEnd w:id="132"/>
    </w:p>
    <w:bookmarkEnd w:id="130"/>
    <w:p w14:paraId="32E75F60" w14:textId="77777777" w:rsidR="004B3781" w:rsidRPr="002E6615" w:rsidRDefault="00947741" w:rsidP="004B3781">
      <w:pPr>
        <w:spacing w:line="360" w:lineRule="auto"/>
        <w:jc w:val="both"/>
        <w:rPr>
          <w:bCs/>
          <w:i/>
        </w:rPr>
      </w:pPr>
      <w:r w:rsidRPr="00947741">
        <w:rPr>
          <w:bCs/>
          <w:i/>
        </w:rPr>
        <w:t>Los Estados Financieros así como las Notas que son parte integral de los mismos, presentan información comparativa, respecto al período anterior. La información comparativa se presenta en la parte narrativa y descriptiva.</w:t>
      </w:r>
    </w:p>
    <w:bookmarkEnd w:id="0"/>
    <w:bookmarkEnd w:id="1"/>
    <w:p w14:paraId="32E75F61" w14:textId="77777777" w:rsidR="00757DA1" w:rsidRPr="0079126E" w:rsidRDefault="00757DA1" w:rsidP="00757DA1">
      <w:pPr>
        <w:spacing w:line="360" w:lineRule="auto"/>
        <w:jc w:val="both"/>
        <w:rPr>
          <w:rStyle w:val="CarCar"/>
          <w:rFonts w:ascii="Times New Roman" w:hAnsi="Times New Roman" w:cs="Times New Roman"/>
          <w:b w:val="0"/>
          <w:i/>
          <w:sz w:val="24"/>
          <w:lang w:eastAsia="en-US"/>
        </w:rPr>
      </w:pPr>
      <w:r w:rsidRPr="0079126E">
        <w:rPr>
          <w:rStyle w:val="CarCar"/>
          <w:rFonts w:ascii="Times New Roman" w:hAnsi="Times New Roman" w:cs="Times New Roman"/>
          <w:i/>
          <w:sz w:val="24"/>
        </w:rPr>
        <w:lastRenderedPageBreak/>
        <w:t xml:space="preserve">BALANCE GENERAL    </w:t>
      </w:r>
      <w:bookmarkStart w:id="133" w:name="_Toc155686868"/>
    </w:p>
    <w:p w14:paraId="32E75F62" w14:textId="77777777" w:rsidR="00757DA1" w:rsidRPr="0079126E" w:rsidRDefault="00757DA1" w:rsidP="00757DA1">
      <w:pPr>
        <w:pStyle w:val="Ttulo2"/>
        <w:spacing w:line="360" w:lineRule="auto"/>
        <w:jc w:val="both"/>
        <w:rPr>
          <w:rStyle w:val="CarCar"/>
          <w:rFonts w:ascii="Times New Roman" w:hAnsi="Times New Roman" w:cs="Times New Roman"/>
          <w:b/>
          <w:bCs/>
          <w:i/>
          <w:sz w:val="24"/>
        </w:rPr>
      </w:pPr>
      <w:bookmarkStart w:id="134" w:name="_Toc208202812"/>
      <w:bookmarkStart w:id="135" w:name="_Toc207181390"/>
      <w:r w:rsidRPr="0079126E">
        <w:rPr>
          <w:rStyle w:val="CarCar"/>
          <w:rFonts w:ascii="Times New Roman" w:hAnsi="Times New Roman" w:cs="Times New Roman"/>
          <w:b/>
          <w:bCs/>
          <w:i/>
          <w:sz w:val="24"/>
        </w:rPr>
        <w:t>ACTIVOS</w:t>
      </w:r>
      <w:bookmarkStart w:id="136" w:name="_Toc155686869"/>
      <w:bookmarkEnd w:id="133"/>
      <w:bookmarkEnd w:id="134"/>
      <w:bookmarkEnd w:id="135"/>
    </w:p>
    <w:p w14:paraId="32E75F63" w14:textId="77777777" w:rsidR="00757DA1" w:rsidRPr="0079126E" w:rsidRDefault="00757DA1" w:rsidP="00757DA1">
      <w:pPr>
        <w:rPr>
          <w:i/>
          <w:sz w:val="8"/>
          <w:lang w:eastAsia="es-ES"/>
        </w:rPr>
      </w:pPr>
    </w:p>
    <w:bookmarkEnd w:id="136"/>
    <w:p w14:paraId="32E75F64" w14:textId="70B46002" w:rsidR="00757DA1" w:rsidRPr="0079126E" w:rsidRDefault="00757DA1" w:rsidP="00757DA1">
      <w:pPr>
        <w:spacing w:line="360" w:lineRule="auto"/>
        <w:jc w:val="both"/>
        <w:rPr>
          <w:rStyle w:val="CarCar"/>
          <w:rFonts w:ascii="Times New Roman" w:hAnsi="Times New Roman" w:cs="Times New Roman"/>
          <w:i/>
          <w:sz w:val="28"/>
        </w:rPr>
      </w:pPr>
      <w:r w:rsidRPr="0079126E">
        <w:rPr>
          <w:rStyle w:val="CarCar"/>
          <w:rFonts w:ascii="Times New Roman" w:hAnsi="Times New Roman" w:cs="Times New Roman"/>
          <w:i/>
          <w:sz w:val="28"/>
        </w:rPr>
        <w:t xml:space="preserve">Nota 7: </w:t>
      </w:r>
      <w:r w:rsidR="00CA2C23">
        <w:rPr>
          <w:rStyle w:val="CarCar"/>
          <w:rFonts w:ascii="Times New Roman" w:hAnsi="Times New Roman" w:cs="Times New Roman"/>
          <w:i/>
          <w:sz w:val="28"/>
        </w:rPr>
        <w:t>Efectivo y Equivalentes de Efecti</w:t>
      </w:r>
      <w:r w:rsidR="00FB3127">
        <w:rPr>
          <w:rStyle w:val="CarCar"/>
          <w:rFonts w:ascii="Times New Roman" w:hAnsi="Times New Roman" w:cs="Times New Roman"/>
          <w:i/>
          <w:sz w:val="28"/>
        </w:rPr>
        <w:t>vo</w:t>
      </w:r>
      <w:r w:rsidRPr="0079126E">
        <w:rPr>
          <w:rStyle w:val="CarCar"/>
          <w:rFonts w:ascii="Times New Roman" w:hAnsi="Times New Roman" w:cs="Times New Roman"/>
          <w:i/>
          <w:sz w:val="28"/>
        </w:rPr>
        <w:t xml:space="preserve"> </w:t>
      </w:r>
    </w:p>
    <w:p w14:paraId="32E75F65" w14:textId="6E53033D" w:rsidR="00757DA1" w:rsidRPr="0079126E" w:rsidRDefault="00757DA1" w:rsidP="00757DA1">
      <w:pPr>
        <w:spacing w:line="360" w:lineRule="auto"/>
        <w:jc w:val="both"/>
        <w:rPr>
          <w:b/>
          <w:i/>
        </w:rPr>
      </w:pPr>
      <w:r w:rsidRPr="0079126E">
        <w:rPr>
          <w:rStyle w:val="CarCar"/>
          <w:rFonts w:ascii="Times New Roman" w:hAnsi="Times New Roman" w:cs="Times New Roman"/>
          <w:b w:val="0"/>
          <w:i/>
          <w:sz w:val="24"/>
        </w:rPr>
        <w:t>Al 31 de Diciembre de los años  202</w:t>
      </w:r>
      <w:r w:rsidR="00420982" w:rsidRPr="0079126E">
        <w:rPr>
          <w:rStyle w:val="CarCar"/>
          <w:rFonts w:ascii="Times New Roman" w:hAnsi="Times New Roman" w:cs="Times New Roman"/>
          <w:b w:val="0"/>
          <w:i/>
          <w:sz w:val="24"/>
        </w:rPr>
        <w:t>2</w:t>
      </w:r>
      <w:r w:rsidRPr="0079126E">
        <w:rPr>
          <w:rStyle w:val="CarCar"/>
          <w:rFonts w:ascii="Times New Roman" w:hAnsi="Times New Roman" w:cs="Times New Roman"/>
          <w:b w:val="0"/>
          <w:i/>
          <w:sz w:val="24"/>
        </w:rPr>
        <w:t xml:space="preserve">  y  20</w:t>
      </w:r>
      <w:r w:rsidR="003F2144" w:rsidRPr="0079126E">
        <w:rPr>
          <w:rStyle w:val="CarCar"/>
          <w:rFonts w:ascii="Times New Roman" w:hAnsi="Times New Roman" w:cs="Times New Roman"/>
          <w:b w:val="0"/>
          <w:i/>
          <w:sz w:val="24"/>
        </w:rPr>
        <w:t>2</w:t>
      </w:r>
      <w:r w:rsidR="00420982" w:rsidRPr="0079126E">
        <w:rPr>
          <w:rStyle w:val="CarCar"/>
          <w:rFonts w:ascii="Times New Roman" w:hAnsi="Times New Roman" w:cs="Times New Roman"/>
          <w:b w:val="0"/>
          <w:i/>
          <w:sz w:val="24"/>
        </w:rPr>
        <w:t>1</w:t>
      </w:r>
      <w:r w:rsidRPr="0079126E">
        <w:rPr>
          <w:b/>
          <w:i/>
        </w:rPr>
        <w:t>,</w:t>
      </w:r>
      <w:r w:rsidRPr="0079126E">
        <w:rPr>
          <w:i/>
        </w:rPr>
        <w:t xml:space="preserve"> el efectivo disponible en cuentas bancarias del Banco de Reservas presenta los siguientes balances RD$</w:t>
      </w:r>
      <w:r w:rsidR="0074529E" w:rsidRPr="0079126E">
        <w:rPr>
          <w:i/>
        </w:rPr>
        <w:t>9,</w:t>
      </w:r>
      <w:r w:rsidR="00773F48" w:rsidRPr="0079126E">
        <w:rPr>
          <w:i/>
        </w:rPr>
        <w:t>436,973.87</w:t>
      </w:r>
      <w:r w:rsidR="003F2144" w:rsidRPr="0079126E">
        <w:rPr>
          <w:i/>
        </w:rPr>
        <w:t xml:space="preserve"> </w:t>
      </w:r>
      <w:r w:rsidRPr="0079126E">
        <w:rPr>
          <w:i/>
        </w:rPr>
        <w:t>y RD$</w:t>
      </w:r>
      <w:r w:rsidR="00DB74D3" w:rsidRPr="0079126E">
        <w:rPr>
          <w:i/>
        </w:rPr>
        <w:t>8,805,779.35</w:t>
      </w:r>
      <w:r w:rsidR="003F2144" w:rsidRPr="0079126E">
        <w:rPr>
          <w:i/>
        </w:rPr>
        <w:t xml:space="preserve"> </w:t>
      </w:r>
      <w:r w:rsidRPr="0079126E">
        <w:rPr>
          <w:i/>
        </w:rPr>
        <w:t xml:space="preserve">según el siguiente detalle: </w:t>
      </w:r>
    </w:p>
    <w:p w14:paraId="32E75F66" w14:textId="27B62350" w:rsidR="00757DA1" w:rsidRPr="0079126E" w:rsidRDefault="00757DA1" w:rsidP="00757DA1">
      <w:pPr>
        <w:spacing w:line="360" w:lineRule="auto"/>
        <w:rPr>
          <w:b/>
          <w:i/>
        </w:rPr>
      </w:pPr>
      <w:r w:rsidRPr="0079126E">
        <w:rPr>
          <w:b/>
          <w:i/>
        </w:rPr>
        <w:t>D</w:t>
      </w:r>
      <w:r w:rsidR="003F2144" w:rsidRPr="0079126E">
        <w:rPr>
          <w:b/>
          <w:i/>
        </w:rPr>
        <w:t>escripción</w:t>
      </w:r>
      <w:r w:rsidR="003F2144" w:rsidRPr="0079126E">
        <w:rPr>
          <w:b/>
          <w:i/>
        </w:rPr>
        <w:tab/>
      </w:r>
      <w:r w:rsidR="003F2144" w:rsidRPr="0079126E">
        <w:rPr>
          <w:b/>
          <w:i/>
        </w:rPr>
        <w:tab/>
      </w:r>
      <w:r w:rsidR="003F2144" w:rsidRPr="0079126E">
        <w:rPr>
          <w:b/>
          <w:i/>
        </w:rPr>
        <w:tab/>
      </w:r>
      <w:r w:rsidR="003F2144" w:rsidRPr="0079126E">
        <w:rPr>
          <w:b/>
          <w:i/>
        </w:rPr>
        <w:tab/>
      </w:r>
      <w:r w:rsidR="003F2144" w:rsidRPr="0079126E">
        <w:rPr>
          <w:b/>
          <w:i/>
        </w:rPr>
        <w:tab/>
      </w:r>
      <w:r w:rsidR="003F2144" w:rsidRPr="0079126E">
        <w:rPr>
          <w:b/>
          <w:i/>
        </w:rPr>
        <w:tab/>
        <w:t xml:space="preserve">            </w:t>
      </w:r>
      <w:bookmarkStart w:id="137" w:name="_Hlk123826871"/>
      <w:r w:rsidR="003F2144" w:rsidRPr="0079126E">
        <w:rPr>
          <w:b/>
          <w:i/>
        </w:rPr>
        <w:t>202</w:t>
      </w:r>
      <w:r w:rsidR="003E0715" w:rsidRPr="0079126E">
        <w:rPr>
          <w:b/>
          <w:i/>
        </w:rPr>
        <w:t>2</w:t>
      </w:r>
      <w:r w:rsidR="003F2144" w:rsidRPr="0079126E">
        <w:rPr>
          <w:b/>
          <w:i/>
        </w:rPr>
        <w:tab/>
      </w:r>
      <w:r w:rsidR="003F2144" w:rsidRPr="0079126E">
        <w:rPr>
          <w:b/>
          <w:i/>
        </w:rPr>
        <w:tab/>
        <w:t xml:space="preserve">    202</w:t>
      </w:r>
      <w:r w:rsidR="003E0715" w:rsidRPr="0079126E">
        <w:rPr>
          <w:b/>
          <w:i/>
        </w:rPr>
        <w:t>1</w:t>
      </w:r>
      <w:bookmarkEnd w:id="137"/>
    </w:p>
    <w:tbl>
      <w:tblPr>
        <w:tblW w:w="8520" w:type="dxa"/>
        <w:tblInd w:w="93" w:type="dxa"/>
        <w:tblLook w:val="04A0" w:firstRow="1" w:lastRow="0" w:firstColumn="1" w:lastColumn="0" w:noHBand="0" w:noVBand="1"/>
      </w:tblPr>
      <w:tblGrid>
        <w:gridCol w:w="4960"/>
        <w:gridCol w:w="1596"/>
        <w:gridCol w:w="1964"/>
      </w:tblGrid>
      <w:tr w:rsidR="003F2144" w:rsidRPr="0079126E" w14:paraId="32E75F6A" w14:textId="77777777" w:rsidTr="003F2144">
        <w:trPr>
          <w:trHeight w:val="300"/>
        </w:trPr>
        <w:tc>
          <w:tcPr>
            <w:tcW w:w="4960" w:type="dxa"/>
            <w:tcBorders>
              <w:top w:val="nil"/>
              <w:left w:val="nil"/>
              <w:bottom w:val="nil"/>
              <w:right w:val="nil"/>
            </w:tcBorders>
            <w:shd w:val="clear" w:color="auto" w:fill="auto"/>
            <w:noWrap/>
            <w:vAlign w:val="center"/>
            <w:hideMark/>
          </w:tcPr>
          <w:p w14:paraId="32E75F67" w14:textId="77777777" w:rsidR="003F2144" w:rsidRPr="0079126E" w:rsidRDefault="003F2144" w:rsidP="003F2144">
            <w:pPr>
              <w:jc w:val="both"/>
              <w:rPr>
                <w:i/>
                <w:color w:val="000000"/>
              </w:rPr>
            </w:pPr>
            <w:r w:rsidRPr="0079126E">
              <w:rPr>
                <w:i/>
                <w:color w:val="000000"/>
              </w:rPr>
              <w:t>Caja Chica</w:t>
            </w:r>
          </w:p>
        </w:tc>
        <w:tc>
          <w:tcPr>
            <w:tcW w:w="1596" w:type="dxa"/>
            <w:tcBorders>
              <w:top w:val="nil"/>
              <w:left w:val="nil"/>
              <w:bottom w:val="nil"/>
              <w:right w:val="nil"/>
            </w:tcBorders>
            <w:shd w:val="clear" w:color="auto" w:fill="auto"/>
            <w:noWrap/>
            <w:hideMark/>
          </w:tcPr>
          <w:p w14:paraId="32E75F68" w14:textId="77777777" w:rsidR="003F2144" w:rsidRPr="0079126E" w:rsidRDefault="003F2144" w:rsidP="003F2144">
            <w:pPr>
              <w:jc w:val="right"/>
              <w:rPr>
                <w:i/>
              </w:rPr>
            </w:pPr>
            <w:r w:rsidRPr="0079126E">
              <w:rPr>
                <w:i/>
              </w:rPr>
              <w:t>50,000.00</w:t>
            </w:r>
          </w:p>
        </w:tc>
        <w:tc>
          <w:tcPr>
            <w:tcW w:w="1964" w:type="dxa"/>
            <w:tcBorders>
              <w:top w:val="nil"/>
              <w:left w:val="nil"/>
              <w:bottom w:val="nil"/>
              <w:right w:val="nil"/>
            </w:tcBorders>
            <w:shd w:val="clear" w:color="auto" w:fill="auto"/>
            <w:noWrap/>
            <w:hideMark/>
          </w:tcPr>
          <w:p w14:paraId="32E75F69" w14:textId="77777777" w:rsidR="003F2144" w:rsidRPr="0079126E" w:rsidRDefault="003F2144" w:rsidP="003F2144">
            <w:pPr>
              <w:jc w:val="right"/>
              <w:rPr>
                <w:i/>
              </w:rPr>
            </w:pPr>
            <w:r w:rsidRPr="0079126E">
              <w:rPr>
                <w:i/>
              </w:rPr>
              <w:t>50,000.00</w:t>
            </w:r>
          </w:p>
        </w:tc>
      </w:tr>
      <w:tr w:rsidR="003F2144" w:rsidRPr="0079126E" w14:paraId="32E75F6E" w14:textId="77777777" w:rsidTr="003F2144">
        <w:trPr>
          <w:trHeight w:val="300"/>
        </w:trPr>
        <w:tc>
          <w:tcPr>
            <w:tcW w:w="4960" w:type="dxa"/>
            <w:tcBorders>
              <w:top w:val="nil"/>
              <w:left w:val="nil"/>
              <w:bottom w:val="nil"/>
              <w:right w:val="nil"/>
            </w:tcBorders>
            <w:shd w:val="clear" w:color="auto" w:fill="auto"/>
            <w:noWrap/>
            <w:vAlign w:val="center"/>
            <w:hideMark/>
          </w:tcPr>
          <w:p w14:paraId="32E75F6B" w14:textId="77777777" w:rsidR="003F2144" w:rsidRPr="0079126E" w:rsidRDefault="003F2144" w:rsidP="003F2144">
            <w:pPr>
              <w:jc w:val="both"/>
              <w:rPr>
                <w:i/>
                <w:color w:val="000000"/>
              </w:rPr>
            </w:pPr>
            <w:r w:rsidRPr="0079126E">
              <w:rPr>
                <w:i/>
                <w:color w:val="000000"/>
              </w:rPr>
              <w:t>Cuenta Corriente Regular</w:t>
            </w:r>
          </w:p>
        </w:tc>
        <w:tc>
          <w:tcPr>
            <w:tcW w:w="1596" w:type="dxa"/>
            <w:tcBorders>
              <w:top w:val="nil"/>
              <w:left w:val="nil"/>
              <w:bottom w:val="nil"/>
              <w:right w:val="nil"/>
            </w:tcBorders>
            <w:shd w:val="clear" w:color="auto" w:fill="auto"/>
            <w:noWrap/>
            <w:hideMark/>
          </w:tcPr>
          <w:p w14:paraId="32E75F6C" w14:textId="563FDC90" w:rsidR="003F2144" w:rsidRPr="0079126E" w:rsidRDefault="00DD15BF" w:rsidP="003F2144">
            <w:pPr>
              <w:jc w:val="right"/>
              <w:rPr>
                <w:i/>
              </w:rPr>
            </w:pPr>
            <w:r w:rsidRPr="0079126E">
              <w:rPr>
                <w:i/>
              </w:rPr>
              <w:t>4,522,075.62</w:t>
            </w:r>
          </w:p>
        </w:tc>
        <w:tc>
          <w:tcPr>
            <w:tcW w:w="1964" w:type="dxa"/>
            <w:tcBorders>
              <w:top w:val="nil"/>
              <w:left w:val="nil"/>
              <w:bottom w:val="nil"/>
              <w:right w:val="nil"/>
            </w:tcBorders>
            <w:shd w:val="clear" w:color="auto" w:fill="auto"/>
            <w:noWrap/>
            <w:hideMark/>
          </w:tcPr>
          <w:p w14:paraId="32E75F6D" w14:textId="78BFFD39" w:rsidR="003F2144" w:rsidRPr="0079126E" w:rsidRDefault="00593AED" w:rsidP="003F2144">
            <w:pPr>
              <w:jc w:val="right"/>
              <w:rPr>
                <w:i/>
              </w:rPr>
            </w:pPr>
            <w:r w:rsidRPr="0079126E">
              <w:rPr>
                <w:i/>
              </w:rPr>
              <w:t>4,082,888.36</w:t>
            </w:r>
          </w:p>
        </w:tc>
      </w:tr>
      <w:tr w:rsidR="003F2144" w:rsidRPr="0079126E" w14:paraId="32E75F72" w14:textId="77777777" w:rsidTr="003F2144">
        <w:trPr>
          <w:trHeight w:val="300"/>
        </w:trPr>
        <w:tc>
          <w:tcPr>
            <w:tcW w:w="4960" w:type="dxa"/>
            <w:tcBorders>
              <w:top w:val="nil"/>
              <w:left w:val="nil"/>
              <w:bottom w:val="nil"/>
              <w:right w:val="nil"/>
            </w:tcBorders>
            <w:shd w:val="clear" w:color="auto" w:fill="auto"/>
            <w:noWrap/>
            <w:vAlign w:val="center"/>
            <w:hideMark/>
          </w:tcPr>
          <w:p w14:paraId="32E75F6F" w14:textId="77777777" w:rsidR="003F2144" w:rsidRPr="0079126E" w:rsidRDefault="003F2144" w:rsidP="003F2144">
            <w:pPr>
              <w:jc w:val="both"/>
              <w:rPr>
                <w:i/>
                <w:color w:val="000000"/>
              </w:rPr>
            </w:pPr>
            <w:r w:rsidRPr="0079126E">
              <w:rPr>
                <w:i/>
                <w:color w:val="000000"/>
              </w:rPr>
              <w:t>Cuenta Corriente Operaciones</w:t>
            </w:r>
          </w:p>
        </w:tc>
        <w:tc>
          <w:tcPr>
            <w:tcW w:w="1596" w:type="dxa"/>
            <w:tcBorders>
              <w:top w:val="nil"/>
              <w:left w:val="nil"/>
              <w:bottom w:val="nil"/>
              <w:right w:val="nil"/>
            </w:tcBorders>
            <w:shd w:val="clear" w:color="auto" w:fill="auto"/>
            <w:noWrap/>
            <w:hideMark/>
          </w:tcPr>
          <w:p w14:paraId="32E75F70" w14:textId="7CABD70A" w:rsidR="003F2144" w:rsidRPr="0079126E" w:rsidRDefault="00DD15BF" w:rsidP="003F2144">
            <w:pPr>
              <w:jc w:val="right"/>
              <w:rPr>
                <w:i/>
              </w:rPr>
            </w:pPr>
            <w:r w:rsidRPr="0079126E">
              <w:rPr>
                <w:i/>
              </w:rPr>
              <w:t>4,066,932.26</w:t>
            </w:r>
          </w:p>
        </w:tc>
        <w:tc>
          <w:tcPr>
            <w:tcW w:w="1964" w:type="dxa"/>
            <w:tcBorders>
              <w:top w:val="nil"/>
              <w:left w:val="nil"/>
              <w:bottom w:val="nil"/>
              <w:right w:val="nil"/>
            </w:tcBorders>
            <w:shd w:val="clear" w:color="auto" w:fill="auto"/>
            <w:noWrap/>
            <w:hideMark/>
          </w:tcPr>
          <w:p w14:paraId="32E75F71" w14:textId="3C56F447" w:rsidR="003F2144" w:rsidRPr="0079126E" w:rsidRDefault="00593AED" w:rsidP="003F2144">
            <w:pPr>
              <w:jc w:val="right"/>
              <w:rPr>
                <w:i/>
              </w:rPr>
            </w:pPr>
            <w:r w:rsidRPr="0079126E">
              <w:rPr>
                <w:i/>
              </w:rPr>
              <w:t>3,749,538.46</w:t>
            </w:r>
          </w:p>
        </w:tc>
      </w:tr>
      <w:tr w:rsidR="003F2144" w:rsidRPr="0079126E" w14:paraId="32E75F76" w14:textId="77777777" w:rsidTr="003F2144">
        <w:trPr>
          <w:trHeight w:val="300"/>
        </w:trPr>
        <w:tc>
          <w:tcPr>
            <w:tcW w:w="4960" w:type="dxa"/>
            <w:tcBorders>
              <w:top w:val="nil"/>
              <w:left w:val="nil"/>
              <w:bottom w:val="nil"/>
              <w:right w:val="nil"/>
            </w:tcBorders>
            <w:shd w:val="clear" w:color="auto" w:fill="auto"/>
            <w:noWrap/>
            <w:vAlign w:val="center"/>
            <w:hideMark/>
          </w:tcPr>
          <w:p w14:paraId="32E75F73" w14:textId="77777777" w:rsidR="003F2144" w:rsidRPr="0079126E" w:rsidRDefault="003F2144" w:rsidP="003F2144">
            <w:pPr>
              <w:jc w:val="both"/>
              <w:rPr>
                <w:i/>
                <w:color w:val="000000"/>
              </w:rPr>
            </w:pPr>
            <w:r w:rsidRPr="0079126E">
              <w:rPr>
                <w:i/>
                <w:color w:val="000000"/>
              </w:rPr>
              <w:t>Cuenta Corriente Nómina</w:t>
            </w:r>
          </w:p>
        </w:tc>
        <w:tc>
          <w:tcPr>
            <w:tcW w:w="1596" w:type="dxa"/>
            <w:tcBorders>
              <w:top w:val="nil"/>
              <w:left w:val="nil"/>
              <w:bottom w:val="nil"/>
              <w:right w:val="nil"/>
            </w:tcBorders>
            <w:shd w:val="clear" w:color="auto" w:fill="auto"/>
            <w:noWrap/>
            <w:hideMark/>
          </w:tcPr>
          <w:p w14:paraId="32E75F74" w14:textId="715C47B5" w:rsidR="003F2144" w:rsidRPr="0079126E" w:rsidRDefault="00DD15BF" w:rsidP="003F2144">
            <w:pPr>
              <w:jc w:val="right"/>
              <w:rPr>
                <w:i/>
              </w:rPr>
            </w:pPr>
            <w:r w:rsidRPr="0079126E">
              <w:rPr>
                <w:i/>
              </w:rPr>
              <w:t>22,549.99</w:t>
            </w:r>
          </w:p>
        </w:tc>
        <w:tc>
          <w:tcPr>
            <w:tcW w:w="1964" w:type="dxa"/>
            <w:tcBorders>
              <w:top w:val="nil"/>
              <w:left w:val="nil"/>
              <w:bottom w:val="nil"/>
              <w:right w:val="nil"/>
            </w:tcBorders>
            <w:shd w:val="clear" w:color="auto" w:fill="auto"/>
            <w:noWrap/>
            <w:hideMark/>
          </w:tcPr>
          <w:p w14:paraId="32E75F75" w14:textId="379A471E" w:rsidR="003F2144" w:rsidRPr="0079126E" w:rsidRDefault="00DF174D" w:rsidP="003F2144">
            <w:pPr>
              <w:jc w:val="right"/>
              <w:rPr>
                <w:i/>
              </w:rPr>
            </w:pPr>
            <w:r w:rsidRPr="0079126E">
              <w:rPr>
                <w:i/>
              </w:rPr>
              <w:t>164,756.53</w:t>
            </w:r>
          </w:p>
        </w:tc>
      </w:tr>
      <w:tr w:rsidR="003F2144" w:rsidRPr="0079126E" w14:paraId="32E75F7A" w14:textId="77777777" w:rsidTr="003F2144">
        <w:trPr>
          <w:trHeight w:val="300"/>
        </w:trPr>
        <w:tc>
          <w:tcPr>
            <w:tcW w:w="4960" w:type="dxa"/>
            <w:tcBorders>
              <w:top w:val="nil"/>
              <w:left w:val="nil"/>
              <w:bottom w:val="nil"/>
              <w:right w:val="nil"/>
            </w:tcBorders>
            <w:shd w:val="clear" w:color="auto" w:fill="auto"/>
            <w:noWrap/>
            <w:vAlign w:val="center"/>
          </w:tcPr>
          <w:p w14:paraId="32E75F77" w14:textId="77777777" w:rsidR="003F2144" w:rsidRPr="0079126E" w:rsidRDefault="003F2144" w:rsidP="003F2144">
            <w:pPr>
              <w:jc w:val="both"/>
              <w:rPr>
                <w:bCs/>
                <w:i/>
                <w:color w:val="000000"/>
              </w:rPr>
            </w:pPr>
            <w:r w:rsidRPr="0079126E">
              <w:rPr>
                <w:bCs/>
                <w:i/>
                <w:color w:val="000000"/>
              </w:rPr>
              <w:t xml:space="preserve">Cuenta Corriente </w:t>
            </w:r>
            <w:proofErr w:type="spellStart"/>
            <w:r w:rsidRPr="0079126E">
              <w:rPr>
                <w:bCs/>
                <w:i/>
                <w:color w:val="000000"/>
              </w:rPr>
              <w:t>CCRyLI</w:t>
            </w:r>
            <w:proofErr w:type="spellEnd"/>
            <w:r w:rsidRPr="0079126E">
              <w:rPr>
                <w:bCs/>
                <w:i/>
                <w:color w:val="000000"/>
              </w:rPr>
              <w:t>*</w:t>
            </w:r>
          </w:p>
        </w:tc>
        <w:tc>
          <w:tcPr>
            <w:tcW w:w="1596" w:type="dxa"/>
            <w:tcBorders>
              <w:top w:val="nil"/>
              <w:left w:val="nil"/>
              <w:bottom w:val="nil"/>
              <w:right w:val="nil"/>
            </w:tcBorders>
            <w:shd w:val="clear" w:color="auto" w:fill="auto"/>
            <w:noWrap/>
          </w:tcPr>
          <w:p w14:paraId="32E75F78" w14:textId="20990351" w:rsidR="003F2144" w:rsidRPr="0079126E" w:rsidRDefault="003F2144" w:rsidP="003F2144">
            <w:pPr>
              <w:jc w:val="right"/>
              <w:rPr>
                <w:i/>
                <w:u w:val="single"/>
              </w:rPr>
            </w:pPr>
            <w:r w:rsidRPr="0079126E">
              <w:rPr>
                <w:i/>
                <w:u w:val="single"/>
              </w:rPr>
              <w:t xml:space="preserve">    </w:t>
            </w:r>
            <w:r w:rsidR="0035370A" w:rsidRPr="0079126E">
              <w:rPr>
                <w:i/>
                <w:u w:val="single"/>
              </w:rPr>
              <w:t>775,416.00</w:t>
            </w:r>
          </w:p>
        </w:tc>
        <w:tc>
          <w:tcPr>
            <w:tcW w:w="1964" w:type="dxa"/>
            <w:tcBorders>
              <w:top w:val="nil"/>
              <w:left w:val="nil"/>
              <w:bottom w:val="nil"/>
              <w:right w:val="nil"/>
            </w:tcBorders>
            <w:shd w:val="clear" w:color="auto" w:fill="auto"/>
            <w:noWrap/>
          </w:tcPr>
          <w:p w14:paraId="32E75F79" w14:textId="37A912A3" w:rsidR="003F2144" w:rsidRPr="0079126E" w:rsidRDefault="00DF174D" w:rsidP="003F2144">
            <w:pPr>
              <w:jc w:val="right"/>
              <w:rPr>
                <w:i/>
                <w:u w:val="single"/>
              </w:rPr>
            </w:pPr>
            <w:r w:rsidRPr="0079126E">
              <w:rPr>
                <w:i/>
                <w:u w:val="single"/>
              </w:rPr>
              <w:t xml:space="preserve">758,596.00  </w:t>
            </w:r>
          </w:p>
        </w:tc>
      </w:tr>
      <w:tr w:rsidR="003F2144" w:rsidRPr="00CE56B2" w14:paraId="32E75F7E" w14:textId="77777777" w:rsidTr="003F2144">
        <w:trPr>
          <w:trHeight w:val="300"/>
        </w:trPr>
        <w:tc>
          <w:tcPr>
            <w:tcW w:w="4960" w:type="dxa"/>
            <w:tcBorders>
              <w:top w:val="nil"/>
              <w:left w:val="nil"/>
              <w:bottom w:val="nil"/>
              <w:right w:val="nil"/>
            </w:tcBorders>
            <w:shd w:val="clear" w:color="auto" w:fill="auto"/>
            <w:noWrap/>
            <w:vAlign w:val="center"/>
            <w:hideMark/>
          </w:tcPr>
          <w:p w14:paraId="32E75F7B" w14:textId="77777777" w:rsidR="003F2144" w:rsidRPr="0079126E" w:rsidRDefault="003F2144" w:rsidP="003F2144">
            <w:pPr>
              <w:jc w:val="both"/>
              <w:rPr>
                <w:b/>
                <w:bCs/>
                <w:i/>
                <w:color w:val="000000"/>
              </w:rPr>
            </w:pPr>
            <w:r w:rsidRPr="0079126E">
              <w:rPr>
                <w:b/>
                <w:bCs/>
                <w:i/>
                <w:color w:val="000000"/>
              </w:rPr>
              <w:t>Total Disponible en Caja y Banco</w:t>
            </w:r>
          </w:p>
        </w:tc>
        <w:tc>
          <w:tcPr>
            <w:tcW w:w="1596" w:type="dxa"/>
            <w:tcBorders>
              <w:top w:val="nil"/>
              <w:left w:val="nil"/>
              <w:bottom w:val="nil"/>
              <w:right w:val="nil"/>
            </w:tcBorders>
            <w:shd w:val="clear" w:color="auto" w:fill="auto"/>
            <w:noWrap/>
            <w:hideMark/>
          </w:tcPr>
          <w:p w14:paraId="32E75F7C" w14:textId="15E03819" w:rsidR="003F2144" w:rsidRPr="0079126E" w:rsidRDefault="003F2144" w:rsidP="003F2144">
            <w:pPr>
              <w:jc w:val="right"/>
              <w:rPr>
                <w:b/>
                <w:bCs/>
                <w:i/>
                <w:color w:val="000000"/>
                <w:sz w:val="22"/>
                <w:szCs w:val="22"/>
                <w:u w:val="double"/>
              </w:rPr>
            </w:pPr>
            <w:r w:rsidRPr="0079126E">
              <w:rPr>
                <w:b/>
                <w:bCs/>
                <w:i/>
                <w:color w:val="000000"/>
                <w:sz w:val="22"/>
                <w:szCs w:val="22"/>
                <w:u w:val="double"/>
              </w:rPr>
              <w:t xml:space="preserve">   </w:t>
            </w:r>
            <w:r w:rsidR="00795EDC" w:rsidRPr="0079126E">
              <w:rPr>
                <w:b/>
                <w:bCs/>
                <w:i/>
                <w:color w:val="000000"/>
                <w:sz w:val="22"/>
                <w:szCs w:val="22"/>
                <w:u w:val="double"/>
              </w:rPr>
              <w:t>9,436,973.87</w:t>
            </w:r>
          </w:p>
        </w:tc>
        <w:tc>
          <w:tcPr>
            <w:tcW w:w="1964" w:type="dxa"/>
            <w:tcBorders>
              <w:top w:val="nil"/>
              <w:left w:val="nil"/>
              <w:bottom w:val="nil"/>
              <w:right w:val="nil"/>
            </w:tcBorders>
            <w:shd w:val="clear" w:color="auto" w:fill="auto"/>
            <w:noWrap/>
            <w:hideMark/>
          </w:tcPr>
          <w:p w14:paraId="32E75F7D" w14:textId="53316C31" w:rsidR="003F2144" w:rsidRPr="0079126E" w:rsidRDefault="003F2144" w:rsidP="003F2144">
            <w:pPr>
              <w:jc w:val="right"/>
              <w:rPr>
                <w:i/>
                <w:color w:val="000000"/>
                <w:u w:val="double"/>
              </w:rPr>
            </w:pPr>
            <w:r w:rsidRPr="0079126E">
              <w:rPr>
                <w:b/>
                <w:bCs/>
                <w:i/>
                <w:color w:val="000000"/>
                <w:sz w:val="22"/>
                <w:szCs w:val="22"/>
                <w:u w:val="double"/>
              </w:rPr>
              <w:t xml:space="preserve">    </w:t>
            </w:r>
            <w:r w:rsidR="00DF174D" w:rsidRPr="0079126E">
              <w:rPr>
                <w:b/>
                <w:bCs/>
                <w:i/>
                <w:color w:val="000000"/>
                <w:sz w:val="22"/>
                <w:szCs w:val="22"/>
                <w:u w:val="double"/>
              </w:rPr>
              <w:t>8,805,779.35</w:t>
            </w:r>
          </w:p>
        </w:tc>
      </w:tr>
    </w:tbl>
    <w:p w14:paraId="32E75F7F" w14:textId="77777777" w:rsidR="00757DA1" w:rsidRPr="00CE56B2" w:rsidRDefault="00757DA1" w:rsidP="00757DA1">
      <w:pPr>
        <w:spacing w:line="360" w:lineRule="auto"/>
        <w:jc w:val="both"/>
        <w:rPr>
          <w:b/>
          <w:i/>
          <w:sz w:val="10"/>
          <w:highlight w:val="yellow"/>
        </w:rPr>
      </w:pPr>
    </w:p>
    <w:p w14:paraId="32E75F80" w14:textId="77777777" w:rsidR="002B0864" w:rsidRPr="00CE56B2" w:rsidRDefault="002B0864" w:rsidP="00757DA1">
      <w:pPr>
        <w:spacing w:line="360" w:lineRule="auto"/>
        <w:jc w:val="both"/>
        <w:rPr>
          <w:b/>
          <w:i/>
          <w:sz w:val="10"/>
          <w:highlight w:val="yellow"/>
        </w:rPr>
      </w:pPr>
    </w:p>
    <w:p w14:paraId="32E75F81" w14:textId="77777777" w:rsidR="00757DA1" w:rsidRPr="0008388D" w:rsidRDefault="00757DA1" w:rsidP="00757DA1">
      <w:pPr>
        <w:spacing w:line="360" w:lineRule="auto"/>
        <w:jc w:val="both"/>
        <w:rPr>
          <w:b/>
          <w:i/>
          <w:sz w:val="28"/>
        </w:rPr>
      </w:pPr>
      <w:r w:rsidRPr="0008388D">
        <w:rPr>
          <w:b/>
          <w:i/>
          <w:sz w:val="28"/>
        </w:rPr>
        <w:t xml:space="preserve">Nota </w:t>
      </w:r>
      <w:r w:rsidR="002B0864" w:rsidRPr="0008388D">
        <w:rPr>
          <w:b/>
          <w:i/>
          <w:sz w:val="28"/>
        </w:rPr>
        <w:t>7</w:t>
      </w:r>
      <w:r w:rsidRPr="0008388D">
        <w:rPr>
          <w:b/>
          <w:i/>
          <w:sz w:val="28"/>
        </w:rPr>
        <w:t>.</w:t>
      </w:r>
      <w:r w:rsidR="002B0864" w:rsidRPr="0008388D">
        <w:rPr>
          <w:b/>
          <w:i/>
          <w:sz w:val="28"/>
        </w:rPr>
        <w:t>1</w:t>
      </w:r>
      <w:r w:rsidRPr="0008388D">
        <w:rPr>
          <w:b/>
          <w:i/>
          <w:sz w:val="28"/>
        </w:rPr>
        <w:t xml:space="preserve"> Cuentas en Moneda Extranjera</w:t>
      </w:r>
    </w:p>
    <w:p w14:paraId="32E75F82" w14:textId="07352B9A" w:rsidR="00757DA1" w:rsidRPr="0008388D" w:rsidRDefault="00757DA1" w:rsidP="00757DA1">
      <w:pPr>
        <w:pStyle w:val="Ttulo2"/>
        <w:spacing w:line="360" w:lineRule="auto"/>
        <w:jc w:val="both"/>
        <w:rPr>
          <w:rStyle w:val="CarCar"/>
          <w:rFonts w:ascii="Times New Roman" w:hAnsi="Times New Roman" w:cs="Times New Roman"/>
          <w:i/>
          <w:sz w:val="24"/>
        </w:rPr>
      </w:pPr>
      <w:r w:rsidRPr="0008388D">
        <w:rPr>
          <w:rStyle w:val="CarCar"/>
          <w:rFonts w:ascii="Times New Roman" w:hAnsi="Times New Roman" w:cs="Times New Roman"/>
          <w:i/>
          <w:sz w:val="24"/>
        </w:rPr>
        <w:t xml:space="preserve">Al 31 de Diciembre de los </w:t>
      </w:r>
      <w:proofErr w:type="gramStart"/>
      <w:r w:rsidRPr="0008388D">
        <w:rPr>
          <w:rStyle w:val="CarCar"/>
          <w:rFonts w:ascii="Times New Roman" w:hAnsi="Times New Roman" w:cs="Times New Roman"/>
          <w:i/>
          <w:sz w:val="24"/>
        </w:rPr>
        <w:t xml:space="preserve">años  </w:t>
      </w:r>
      <w:r w:rsidR="00420982" w:rsidRPr="0008388D">
        <w:rPr>
          <w:rStyle w:val="CarCar"/>
          <w:rFonts w:ascii="Times New Roman" w:hAnsi="Times New Roman" w:cs="Times New Roman"/>
          <w:i/>
          <w:sz w:val="24"/>
        </w:rPr>
        <w:t>202</w:t>
      </w:r>
      <w:r w:rsidR="00420982" w:rsidRPr="0008388D">
        <w:rPr>
          <w:rStyle w:val="CarCar"/>
          <w:rFonts w:ascii="Times New Roman" w:hAnsi="Times New Roman" w:cs="Times New Roman"/>
          <w:b/>
          <w:i/>
          <w:sz w:val="24"/>
        </w:rPr>
        <w:t>2</w:t>
      </w:r>
      <w:proofErr w:type="gramEnd"/>
      <w:r w:rsidR="00420982" w:rsidRPr="0008388D">
        <w:rPr>
          <w:rStyle w:val="CarCar"/>
          <w:rFonts w:ascii="Times New Roman" w:hAnsi="Times New Roman" w:cs="Times New Roman"/>
          <w:i/>
          <w:sz w:val="24"/>
        </w:rPr>
        <w:t xml:space="preserve">  y  202</w:t>
      </w:r>
      <w:r w:rsidR="00420982" w:rsidRPr="0008388D">
        <w:rPr>
          <w:rStyle w:val="CarCar"/>
          <w:rFonts w:ascii="Times New Roman" w:hAnsi="Times New Roman" w:cs="Times New Roman"/>
          <w:b/>
          <w:i/>
          <w:sz w:val="24"/>
        </w:rPr>
        <w:t>1</w:t>
      </w:r>
      <w:r w:rsidRPr="0008388D">
        <w:rPr>
          <w:rStyle w:val="CarCar"/>
          <w:rFonts w:ascii="Times New Roman" w:hAnsi="Times New Roman" w:cs="Times New Roman"/>
          <w:i/>
          <w:sz w:val="24"/>
        </w:rPr>
        <w:t>,</w:t>
      </w:r>
      <w:r w:rsidRPr="0008388D">
        <w:rPr>
          <w:rStyle w:val="CarCar"/>
          <w:rFonts w:ascii="Times New Roman" w:hAnsi="Times New Roman" w:cs="Times New Roman"/>
          <w:b/>
          <w:i/>
          <w:sz w:val="24"/>
        </w:rPr>
        <w:t xml:space="preserve"> </w:t>
      </w:r>
      <w:r w:rsidRPr="0008388D">
        <w:rPr>
          <w:rStyle w:val="CarCar"/>
          <w:rFonts w:ascii="Times New Roman" w:hAnsi="Times New Roman" w:cs="Times New Roman"/>
          <w:i/>
          <w:sz w:val="24"/>
        </w:rPr>
        <w:t>los valores en moneda extranjera depositados en el Banco de Reservas presenta balances de RD$</w:t>
      </w:r>
      <w:r w:rsidR="0008388D" w:rsidRPr="0008388D">
        <w:rPr>
          <w:rStyle w:val="CarCar"/>
          <w:rFonts w:ascii="Times New Roman" w:hAnsi="Times New Roman" w:cs="Times New Roman"/>
          <w:i/>
          <w:sz w:val="24"/>
        </w:rPr>
        <w:t>1,277,383.58</w:t>
      </w:r>
      <w:r w:rsidR="00CC3703" w:rsidRPr="0008388D">
        <w:rPr>
          <w:rStyle w:val="CarCar"/>
          <w:rFonts w:ascii="Times New Roman" w:hAnsi="Times New Roman" w:cs="Times New Roman"/>
          <w:i/>
          <w:sz w:val="24"/>
        </w:rPr>
        <w:t xml:space="preserve"> </w:t>
      </w:r>
      <w:r w:rsidRPr="0008388D">
        <w:rPr>
          <w:rStyle w:val="CarCar"/>
          <w:rFonts w:ascii="Times New Roman" w:hAnsi="Times New Roman" w:cs="Times New Roman"/>
          <w:i/>
          <w:sz w:val="24"/>
        </w:rPr>
        <w:t>y RD$</w:t>
      </w:r>
      <w:r w:rsidR="00CC3703" w:rsidRPr="0008388D">
        <w:rPr>
          <w:rStyle w:val="CarCar"/>
          <w:rFonts w:ascii="Times New Roman" w:hAnsi="Times New Roman" w:cs="Times New Roman"/>
          <w:i/>
          <w:sz w:val="24"/>
        </w:rPr>
        <w:t xml:space="preserve">403,168.25 </w:t>
      </w:r>
      <w:r w:rsidRPr="0008388D">
        <w:rPr>
          <w:rStyle w:val="CarCar"/>
          <w:rFonts w:ascii="Times New Roman" w:hAnsi="Times New Roman" w:cs="Times New Roman"/>
          <w:i/>
          <w:sz w:val="24"/>
        </w:rPr>
        <w:t>respectivamente según el siguiente detalle:</w:t>
      </w:r>
    </w:p>
    <w:p w14:paraId="32E75F83" w14:textId="048B5CBF" w:rsidR="00757DA1" w:rsidRPr="0008388D" w:rsidRDefault="00757DA1" w:rsidP="00757DA1">
      <w:pPr>
        <w:spacing w:line="360" w:lineRule="auto"/>
        <w:rPr>
          <w:b/>
          <w:i/>
        </w:rPr>
      </w:pPr>
      <w:r w:rsidRPr="0008388D">
        <w:rPr>
          <w:b/>
          <w:i/>
        </w:rPr>
        <w:t>D</w:t>
      </w:r>
      <w:r w:rsidR="003F2144" w:rsidRPr="0008388D">
        <w:rPr>
          <w:b/>
          <w:i/>
        </w:rPr>
        <w:t>escripción</w:t>
      </w:r>
      <w:r w:rsidR="003F2144" w:rsidRPr="0008388D">
        <w:rPr>
          <w:b/>
          <w:i/>
        </w:rPr>
        <w:tab/>
      </w:r>
      <w:r w:rsidR="003F2144" w:rsidRPr="0008388D">
        <w:rPr>
          <w:b/>
          <w:i/>
        </w:rPr>
        <w:tab/>
      </w:r>
      <w:r w:rsidR="003F2144" w:rsidRPr="0008388D">
        <w:rPr>
          <w:b/>
          <w:i/>
        </w:rPr>
        <w:tab/>
      </w:r>
      <w:r w:rsidR="003F2144" w:rsidRPr="0008388D">
        <w:rPr>
          <w:b/>
          <w:i/>
        </w:rPr>
        <w:tab/>
      </w:r>
      <w:r w:rsidR="003F2144" w:rsidRPr="0008388D">
        <w:rPr>
          <w:b/>
          <w:i/>
        </w:rPr>
        <w:tab/>
      </w:r>
      <w:r w:rsidR="003F2144" w:rsidRPr="0008388D">
        <w:rPr>
          <w:b/>
          <w:i/>
        </w:rPr>
        <w:tab/>
        <w:t xml:space="preserve">            </w:t>
      </w:r>
      <w:r w:rsidR="003E0715" w:rsidRPr="0008388D">
        <w:rPr>
          <w:b/>
          <w:i/>
        </w:rPr>
        <w:t>2022</w:t>
      </w:r>
      <w:r w:rsidR="003E0715" w:rsidRPr="0008388D">
        <w:rPr>
          <w:b/>
          <w:i/>
        </w:rPr>
        <w:tab/>
      </w:r>
      <w:r w:rsidR="003E0715" w:rsidRPr="0008388D">
        <w:rPr>
          <w:b/>
          <w:i/>
        </w:rPr>
        <w:tab/>
        <w:t xml:space="preserve">    2021</w:t>
      </w:r>
    </w:p>
    <w:tbl>
      <w:tblPr>
        <w:tblW w:w="8608" w:type="dxa"/>
        <w:tblInd w:w="93" w:type="dxa"/>
        <w:tblLook w:val="04A0" w:firstRow="1" w:lastRow="0" w:firstColumn="1" w:lastColumn="0" w:noHBand="0" w:noVBand="1"/>
      </w:tblPr>
      <w:tblGrid>
        <w:gridCol w:w="4520"/>
        <w:gridCol w:w="2196"/>
        <w:gridCol w:w="2076"/>
      </w:tblGrid>
      <w:tr w:rsidR="003F2144" w:rsidRPr="0008388D" w14:paraId="32E75F87" w14:textId="77777777" w:rsidTr="003F2144">
        <w:trPr>
          <w:trHeight w:val="300"/>
        </w:trPr>
        <w:tc>
          <w:tcPr>
            <w:tcW w:w="4520" w:type="dxa"/>
            <w:tcBorders>
              <w:top w:val="nil"/>
              <w:left w:val="nil"/>
              <w:bottom w:val="nil"/>
              <w:right w:val="nil"/>
            </w:tcBorders>
            <w:shd w:val="clear" w:color="auto" w:fill="auto"/>
            <w:noWrap/>
            <w:vAlign w:val="center"/>
            <w:hideMark/>
          </w:tcPr>
          <w:p w14:paraId="32E75F84" w14:textId="77777777" w:rsidR="003F2144" w:rsidRPr="0008388D" w:rsidRDefault="003F2144" w:rsidP="003F2144">
            <w:pPr>
              <w:jc w:val="both"/>
              <w:rPr>
                <w:i/>
                <w:color w:val="000000"/>
              </w:rPr>
            </w:pPr>
            <w:r w:rsidRPr="0008388D">
              <w:rPr>
                <w:i/>
                <w:color w:val="000000"/>
              </w:rPr>
              <w:t xml:space="preserve">Cuenta de Ahorros en </w:t>
            </w:r>
            <w:proofErr w:type="gramStart"/>
            <w:r w:rsidRPr="0008388D">
              <w:rPr>
                <w:i/>
                <w:color w:val="000000"/>
              </w:rPr>
              <w:t>Dólares</w:t>
            </w:r>
            <w:proofErr w:type="gramEnd"/>
          </w:p>
        </w:tc>
        <w:tc>
          <w:tcPr>
            <w:tcW w:w="2044" w:type="dxa"/>
            <w:tcBorders>
              <w:top w:val="nil"/>
              <w:left w:val="nil"/>
              <w:bottom w:val="nil"/>
              <w:right w:val="nil"/>
            </w:tcBorders>
            <w:shd w:val="clear" w:color="auto" w:fill="auto"/>
            <w:noWrap/>
            <w:vAlign w:val="center"/>
            <w:hideMark/>
          </w:tcPr>
          <w:p w14:paraId="32E75F85" w14:textId="041E13BA" w:rsidR="003F2144" w:rsidRPr="0008388D" w:rsidRDefault="003F2144" w:rsidP="003F2144">
            <w:pPr>
              <w:rPr>
                <w:i/>
                <w:color w:val="000000"/>
                <w:u w:val="single"/>
              </w:rPr>
            </w:pPr>
            <w:r w:rsidRPr="0008388D">
              <w:rPr>
                <w:i/>
                <w:color w:val="000000"/>
                <w:u w:val="single"/>
              </w:rPr>
              <w:t xml:space="preserve">  US$</w:t>
            </w:r>
            <w:r w:rsidR="006D1988" w:rsidRPr="0008388D">
              <w:rPr>
                <w:i/>
                <w:color w:val="000000"/>
                <w:u w:val="single"/>
              </w:rPr>
              <w:t>22,644.63</w:t>
            </w:r>
            <w:r w:rsidRPr="0008388D">
              <w:rPr>
                <w:i/>
                <w:color w:val="000000"/>
                <w:u w:val="single"/>
              </w:rPr>
              <w:t>/5</w:t>
            </w:r>
            <w:r w:rsidR="00A366FA" w:rsidRPr="0008388D">
              <w:rPr>
                <w:i/>
                <w:color w:val="000000"/>
                <w:u w:val="single"/>
              </w:rPr>
              <w:t>6</w:t>
            </w:r>
            <w:r w:rsidRPr="0008388D">
              <w:rPr>
                <w:i/>
                <w:color w:val="000000"/>
                <w:u w:val="single"/>
              </w:rPr>
              <w:t>.</w:t>
            </w:r>
            <w:r w:rsidR="00A366FA" w:rsidRPr="0008388D">
              <w:rPr>
                <w:i/>
                <w:color w:val="000000"/>
                <w:u w:val="single"/>
              </w:rPr>
              <w:t>41</w:t>
            </w:r>
            <w:r w:rsidRPr="0008388D">
              <w:rPr>
                <w:i/>
                <w:color w:val="000000"/>
                <w:u w:val="single"/>
              </w:rPr>
              <w:t xml:space="preserve">           </w:t>
            </w:r>
          </w:p>
        </w:tc>
        <w:tc>
          <w:tcPr>
            <w:tcW w:w="2044" w:type="dxa"/>
            <w:tcBorders>
              <w:top w:val="nil"/>
              <w:left w:val="nil"/>
              <w:bottom w:val="nil"/>
              <w:right w:val="nil"/>
            </w:tcBorders>
            <w:shd w:val="clear" w:color="auto" w:fill="auto"/>
            <w:noWrap/>
            <w:hideMark/>
          </w:tcPr>
          <w:p w14:paraId="32E75F86" w14:textId="35DED4BD" w:rsidR="003F2144" w:rsidRPr="0008388D" w:rsidRDefault="003F2144" w:rsidP="003F2144">
            <w:pPr>
              <w:rPr>
                <w:i/>
                <w:u w:val="single"/>
              </w:rPr>
            </w:pPr>
            <w:r w:rsidRPr="0008388D">
              <w:rPr>
                <w:i/>
                <w:u w:val="single"/>
              </w:rPr>
              <w:t xml:space="preserve"> US$</w:t>
            </w:r>
            <w:r w:rsidR="00DB74D3" w:rsidRPr="0008388D">
              <w:rPr>
                <w:i/>
                <w:u w:val="single"/>
              </w:rPr>
              <w:t>7,005.53</w:t>
            </w:r>
            <w:r w:rsidR="00CC3703" w:rsidRPr="0008388D">
              <w:rPr>
                <w:i/>
                <w:u w:val="single"/>
              </w:rPr>
              <w:t>/57.55</w:t>
            </w:r>
            <w:r w:rsidRPr="0008388D">
              <w:rPr>
                <w:i/>
                <w:u w:val="single"/>
              </w:rPr>
              <w:t xml:space="preserve">            </w:t>
            </w:r>
          </w:p>
        </w:tc>
      </w:tr>
      <w:tr w:rsidR="003F2144" w:rsidRPr="0008388D" w14:paraId="32E75F8B" w14:textId="77777777" w:rsidTr="003F2144">
        <w:trPr>
          <w:trHeight w:val="309"/>
        </w:trPr>
        <w:tc>
          <w:tcPr>
            <w:tcW w:w="4520" w:type="dxa"/>
            <w:tcBorders>
              <w:top w:val="nil"/>
              <w:left w:val="nil"/>
              <w:bottom w:val="nil"/>
              <w:right w:val="nil"/>
            </w:tcBorders>
            <w:shd w:val="clear" w:color="auto" w:fill="auto"/>
            <w:noWrap/>
            <w:vAlign w:val="bottom"/>
            <w:hideMark/>
          </w:tcPr>
          <w:p w14:paraId="32E75F88" w14:textId="77777777" w:rsidR="003F2144" w:rsidRPr="0008388D" w:rsidRDefault="003F2144" w:rsidP="003F2144">
            <w:pPr>
              <w:rPr>
                <w:i/>
                <w:color w:val="000000"/>
              </w:rPr>
            </w:pPr>
          </w:p>
        </w:tc>
        <w:tc>
          <w:tcPr>
            <w:tcW w:w="2044" w:type="dxa"/>
            <w:tcBorders>
              <w:top w:val="nil"/>
              <w:left w:val="nil"/>
              <w:bottom w:val="nil"/>
              <w:right w:val="nil"/>
            </w:tcBorders>
            <w:shd w:val="clear" w:color="auto" w:fill="auto"/>
            <w:noWrap/>
            <w:vAlign w:val="center"/>
            <w:hideMark/>
          </w:tcPr>
          <w:p w14:paraId="32E75F89" w14:textId="30562485" w:rsidR="003F2144" w:rsidRPr="0008388D" w:rsidRDefault="003F2144" w:rsidP="003F2144">
            <w:pPr>
              <w:jc w:val="right"/>
              <w:rPr>
                <w:b/>
                <w:bCs/>
                <w:i/>
                <w:color w:val="000000"/>
                <w:u w:val="double"/>
              </w:rPr>
            </w:pPr>
            <w:r w:rsidRPr="0008388D">
              <w:rPr>
                <w:b/>
                <w:bCs/>
                <w:i/>
                <w:color w:val="000000"/>
                <w:u w:val="double"/>
              </w:rPr>
              <w:t xml:space="preserve">    RD$</w:t>
            </w:r>
            <w:r w:rsidR="00005898" w:rsidRPr="0008388D">
              <w:rPr>
                <w:b/>
                <w:bCs/>
                <w:i/>
                <w:color w:val="000000"/>
                <w:u w:val="double"/>
              </w:rPr>
              <w:t>1,277</w:t>
            </w:r>
            <w:r w:rsidR="00F10CA4" w:rsidRPr="0008388D">
              <w:rPr>
                <w:b/>
                <w:bCs/>
                <w:i/>
                <w:color w:val="000000"/>
                <w:u w:val="double"/>
              </w:rPr>
              <w:t>,</w:t>
            </w:r>
            <w:r w:rsidR="00005898" w:rsidRPr="0008388D">
              <w:rPr>
                <w:b/>
                <w:bCs/>
                <w:i/>
                <w:color w:val="000000"/>
                <w:u w:val="double"/>
              </w:rPr>
              <w:t>383.58</w:t>
            </w:r>
          </w:p>
        </w:tc>
        <w:tc>
          <w:tcPr>
            <w:tcW w:w="2044" w:type="dxa"/>
            <w:tcBorders>
              <w:top w:val="nil"/>
              <w:left w:val="nil"/>
              <w:bottom w:val="nil"/>
              <w:right w:val="nil"/>
            </w:tcBorders>
            <w:shd w:val="clear" w:color="auto" w:fill="auto"/>
            <w:noWrap/>
            <w:hideMark/>
          </w:tcPr>
          <w:p w14:paraId="32E75F8A" w14:textId="0B82F51E" w:rsidR="003F2144" w:rsidRPr="0008388D" w:rsidRDefault="003F2144" w:rsidP="003F2144">
            <w:pPr>
              <w:jc w:val="right"/>
              <w:rPr>
                <w:b/>
                <w:i/>
                <w:u w:val="double"/>
              </w:rPr>
            </w:pPr>
            <w:r w:rsidRPr="0008388D">
              <w:rPr>
                <w:b/>
                <w:bCs/>
                <w:i/>
                <w:color w:val="000000"/>
                <w:u w:val="double"/>
              </w:rPr>
              <w:t xml:space="preserve">     RD$</w:t>
            </w:r>
            <w:r w:rsidR="00CC3703" w:rsidRPr="0008388D">
              <w:rPr>
                <w:b/>
                <w:bCs/>
                <w:i/>
                <w:color w:val="000000"/>
                <w:u w:val="double"/>
              </w:rPr>
              <w:t>403,168.25</w:t>
            </w:r>
          </w:p>
        </w:tc>
      </w:tr>
    </w:tbl>
    <w:p w14:paraId="32E75F8C" w14:textId="77777777" w:rsidR="002B0864" w:rsidRPr="0008388D" w:rsidRDefault="002B0864" w:rsidP="00757DA1">
      <w:pPr>
        <w:pStyle w:val="Ttulo2"/>
        <w:spacing w:line="360" w:lineRule="auto"/>
        <w:jc w:val="both"/>
        <w:rPr>
          <w:rStyle w:val="CarCar"/>
          <w:rFonts w:ascii="Times New Roman" w:hAnsi="Times New Roman" w:cs="Times New Roman"/>
          <w:i/>
          <w:sz w:val="14"/>
        </w:rPr>
      </w:pPr>
    </w:p>
    <w:p w14:paraId="32E75F8D" w14:textId="7499B499" w:rsidR="00757DA1" w:rsidRPr="0008388D" w:rsidRDefault="00757DA1" w:rsidP="00757DA1">
      <w:pPr>
        <w:pStyle w:val="Ttulo2"/>
        <w:spacing w:line="360" w:lineRule="auto"/>
        <w:jc w:val="both"/>
        <w:rPr>
          <w:rStyle w:val="CarCar"/>
          <w:rFonts w:ascii="Times New Roman" w:hAnsi="Times New Roman" w:cs="Times New Roman"/>
          <w:i/>
          <w:sz w:val="24"/>
        </w:rPr>
      </w:pPr>
      <w:r w:rsidRPr="0008388D">
        <w:rPr>
          <w:rStyle w:val="CarCar"/>
          <w:rFonts w:ascii="Times New Roman" w:hAnsi="Times New Roman" w:cs="Times New Roman"/>
          <w:i/>
          <w:sz w:val="24"/>
        </w:rPr>
        <w:t xml:space="preserve">Los valores existentes en dólares </w:t>
      </w:r>
      <w:proofErr w:type="gramStart"/>
      <w:r w:rsidRPr="0008388D">
        <w:rPr>
          <w:rStyle w:val="CarCar"/>
          <w:rFonts w:ascii="Times New Roman" w:hAnsi="Times New Roman" w:cs="Times New Roman"/>
          <w:i/>
          <w:sz w:val="24"/>
        </w:rPr>
        <w:t>norteamericanos,</w:t>
      </w:r>
      <w:proofErr w:type="gramEnd"/>
      <w:r w:rsidRPr="0008388D">
        <w:rPr>
          <w:rStyle w:val="CarCar"/>
          <w:rFonts w:ascii="Times New Roman" w:hAnsi="Times New Roman" w:cs="Times New Roman"/>
          <w:i/>
          <w:sz w:val="24"/>
        </w:rPr>
        <w:t xml:space="preserve"> fueron valuados al tipo de cambio comprador al último día del mes a razón de RD$5</w:t>
      </w:r>
      <w:r w:rsidR="00773F48" w:rsidRPr="0008388D">
        <w:rPr>
          <w:rStyle w:val="CarCar"/>
          <w:rFonts w:ascii="Times New Roman" w:hAnsi="Times New Roman" w:cs="Times New Roman"/>
          <w:i/>
          <w:sz w:val="24"/>
        </w:rPr>
        <w:t>6</w:t>
      </w:r>
      <w:r w:rsidRPr="0008388D">
        <w:rPr>
          <w:rStyle w:val="CarCar"/>
          <w:rFonts w:ascii="Times New Roman" w:hAnsi="Times New Roman" w:cs="Times New Roman"/>
          <w:i/>
          <w:sz w:val="24"/>
        </w:rPr>
        <w:t>.</w:t>
      </w:r>
      <w:r w:rsidR="00773F48" w:rsidRPr="0008388D">
        <w:rPr>
          <w:rStyle w:val="CarCar"/>
          <w:rFonts w:ascii="Times New Roman" w:hAnsi="Times New Roman" w:cs="Times New Roman"/>
          <w:i/>
          <w:sz w:val="24"/>
        </w:rPr>
        <w:t>41</w:t>
      </w:r>
      <w:r w:rsidRPr="0008388D">
        <w:rPr>
          <w:rStyle w:val="CarCar"/>
          <w:rFonts w:ascii="Times New Roman" w:hAnsi="Times New Roman" w:cs="Times New Roman"/>
          <w:i/>
          <w:sz w:val="24"/>
        </w:rPr>
        <w:t xml:space="preserve"> y RD$5</w:t>
      </w:r>
      <w:r w:rsidR="00773F48" w:rsidRPr="0008388D">
        <w:rPr>
          <w:rStyle w:val="CarCar"/>
          <w:rFonts w:ascii="Times New Roman" w:hAnsi="Times New Roman" w:cs="Times New Roman"/>
          <w:i/>
          <w:sz w:val="24"/>
        </w:rPr>
        <w:t>7.55</w:t>
      </w:r>
      <w:r w:rsidRPr="0008388D">
        <w:rPr>
          <w:rStyle w:val="CarCar"/>
          <w:rFonts w:ascii="Times New Roman" w:hAnsi="Times New Roman" w:cs="Times New Roman"/>
          <w:i/>
          <w:sz w:val="24"/>
        </w:rPr>
        <w:t xml:space="preserve"> por cada dólar Estadounidense (US$).</w:t>
      </w:r>
    </w:p>
    <w:p w14:paraId="32E75F8E" w14:textId="77777777" w:rsidR="00757DA1" w:rsidRPr="00CE56B2" w:rsidRDefault="00757DA1" w:rsidP="00757DA1">
      <w:pPr>
        <w:rPr>
          <w:sz w:val="4"/>
          <w:highlight w:val="yellow"/>
          <w:lang w:eastAsia="es-ES"/>
        </w:rPr>
      </w:pPr>
    </w:p>
    <w:p w14:paraId="32E75F8F" w14:textId="77777777" w:rsidR="00757DA1" w:rsidRPr="00CE56B2" w:rsidRDefault="00757DA1" w:rsidP="00757DA1">
      <w:pPr>
        <w:rPr>
          <w:sz w:val="4"/>
          <w:highlight w:val="yellow"/>
          <w:lang w:eastAsia="es-ES"/>
        </w:rPr>
      </w:pPr>
    </w:p>
    <w:p w14:paraId="32E75F90" w14:textId="77777777" w:rsidR="00757DA1" w:rsidRPr="00CE56B2" w:rsidRDefault="00757DA1" w:rsidP="00757DA1">
      <w:pPr>
        <w:rPr>
          <w:sz w:val="4"/>
          <w:highlight w:val="yellow"/>
          <w:lang w:eastAsia="es-ES"/>
        </w:rPr>
      </w:pPr>
    </w:p>
    <w:p w14:paraId="32E75F91" w14:textId="77777777" w:rsidR="00757DA1" w:rsidRPr="00CE56B2" w:rsidRDefault="00757DA1" w:rsidP="00757DA1">
      <w:pPr>
        <w:rPr>
          <w:sz w:val="4"/>
          <w:highlight w:val="yellow"/>
          <w:lang w:eastAsia="es-ES"/>
        </w:rPr>
      </w:pPr>
    </w:p>
    <w:p w14:paraId="32E75F92" w14:textId="77777777" w:rsidR="00757DA1" w:rsidRPr="00CE56B2" w:rsidRDefault="00757DA1" w:rsidP="00757DA1">
      <w:pPr>
        <w:rPr>
          <w:sz w:val="4"/>
          <w:highlight w:val="yellow"/>
          <w:lang w:eastAsia="es-ES"/>
        </w:rPr>
      </w:pPr>
    </w:p>
    <w:p w14:paraId="32E75F93" w14:textId="77777777" w:rsidR="00757DA1" w:rsidRPr="00C62E78" w:rsidRDefault="002B0864" w:rsidP="00757DA1">
      <w:pPr>
        <w:spacing w:line="360" w:lineRule="auto"/>
        <w:jc w:val="both"/>
        <w:rPr>
          <w:b/>
          <w:i/>
          <w:sz w:val="28"/>
        </w:rPr>
      </w:pPr>
      <w:r w:rsidRPr="00C62E78">
        <w:rPr>
          <w:b/>
          <w:i/>
          <w:sz w:val="28"/>
        </w:rPr>
        <w:t>Nota 7.2</w:t>
      </w:r>
      <w:r w:rsidR="00757DA1" w:rsidRPr="00C62E78">
        <w:rPr>
          <w:b/>
          <w:i/>
          <w:sz w:val="28"/>
        </w:rPr>
        <w:t xml:space="preserve"> Inversiones Financieras a Corto Plazo </w:t>
      </w:r>
    </w:p>
    <w:p w14:paraId="32E75F94" w14:textId="56DE0DD6" w:rsidR="00757DA1" w:rsidRPr="00C62E78" w:rsidRDefault="00757DA1" w:rsidP="00757DA1">
      <w:pPr>
        <w:spacing w:line="360" w:lineRule="auto"/>
        <w:jc w:val="both"/>
        <w:rPr>
          <w:i/>
        </w:rPr>
      </w:pPr>
      <w:r w:rsidRPr="00C62E78">
        <w:rPr>
          <w:rStyle w:val="CarCar"/>
          <w:rFonts w:ascii="Times New Roman" w:hAnsi="Times New Roman" w:cs="Times New Roman"/>
          <w:b w:val="0"/>
          <w:i/>
          <w:sz w:val="24"/>
        </w:rPr>
        <w:t xml:space="preserve">Al 31 de Diciembre de los </w:t>
      </w:r>
      <w:proofErr w:type="gramStart"/>
      <w:r w:rsidRPr="00C62E78">
        <w:rPr>
          <w:rStyle w:val="CarCar"/>
          <w:rFonts w:ascii="Times New Roman" w:hAnsi="Times New Roman" w:cs="Times New Roman"/>
          <w:b w:val="0"/>
          <w:i/>
          <w:sz w:val="24"/>
        </w:rPr>
        <w:t xml:space="preserve">años  </w:t>
      </w:r>
      <w:r w:rsidR="00927B59" w:rsidRPr="00C62E78">
        <w:rPr>
          <w:rStyle w:val="CarCar"/>
          <w:rFonts w:ascii="Times New Roman" w:hAnsi="Times New Roman" w:cs="Times New Roman"/>
          <w:b w:val="0"/>
          <w:i/>
          <w:sz w:val="24"/>
        </w:rPr>
        <w:t>2022</w:t>
      </w:r>
      <w:proofErr w:type="gramEnd"/>
      <w:r w:rsidR="00927B59" w:rsidRPr="00C62E78">
        <w:rPr>
          <w:rStyle w:val="CarCar"/>
          <w:rFonts w:ascii="Times New Roman" w:hAnsi="Times New Roman" w:cs="Times New Roman"/>
          <w:b w:val="0"/>
          <w:i/>
          <w:sz w:val="24"/>
        </w:rPr>
        <w:t xml:space="preserve">  y  2021</w:t>
      </w:r>
      <w:r w:rsidRPr="00C62E78">
        <w:rPr>
          <w:b/>
          <w:i/>
        </w:rPr>
        <w:t>,</w:t>
      </w:r>
      <w:r w:rsidRPr="00C62E78">
        <w:rPr>
          <w:rStyle w:val="CarCar"/>
          <w:rFonts w:ascii="Times New Roman" w:hAnsi="Times New Roman" w:cs="Times New Roman"/>
          <w:b w:val="0"/>
          <w:i/>
          <w:sz w:val="24"/>
        </w:rPr>
        <w:t xml:space="preserve"> el saldo de las Inversiones Financieras tuvo los  balances de RD$</w:t>
      </w:r>
      <w:r w:rsidR="00CE56B2" w:rsidRPr="00C62E78">
        <w:rPr>
          <w:rStyle w:val="CarCar"/>
          <w:rFonts w:ascii="Times New Roman" w:hAnsi="Times New Roman" w:cs="Times New Roman"/>
          <w:b w:val="0"/>
          <w:i/>
          <w:sz w:val="24"/>
        </w:rPr>
        <w:t xml:space="preserve">82,948,215.50 </w:t>
      </w:r>
      <w:r w:rsidRPr="00C62E78">
        <w:rPr>
          <w:rStyle w:val="CarCar"/>
          <w:rFonts w:ascii="Times New Roman" w:hAnsi="Times New Roman" w:cs="Times New Roman"/>
          <w:b w:val="0"/>
          <w:i/>
          <w:sz w:val="24"/>
        </w:rPr>
        <w:t>y RD$</w:t>
      </w:r>
      <w:r w:rsidR="00CE56B2" w:rsidRPr="00C62E78">
        <w:rPr>
          <w:rStyle w:val="CarCar"/>
          <w:rFonts w:ascii="Times New Roman" w:hAnsi="Times New Roman" w:cs="Times New Roman"/>
          <w:b w:val="0"/>
          <w:i/>
          <w:sz w:val="24"/>
        </w:rPr>
        <w:t>51,344,819.92</w:t>
      </w:r>
      <w:r w:rsidRPr="00C62E78">
        <w:rPr>
          <w:i/>
          <w:color w:val="000000"/>
        </w:rPr>
        <w:t xml:space="preserve">, </w:t>
      </w:r>
      <w:r w:rsidRPr="00C62E78">
        <w:rPr>
          <w:rStyle w:val="CarCar"/>
          <w:rFonts w:ascii="Times New Roman" w:hAnsi="Times New Roman" w:cs="Times New Roman"/>
          <w:b w:val="0"/>
          <w:i/>
          <w:sz w:val="24"/>
        </w:rPr>
        <w:t>respectivamente:</w:t>
      </w:r>
    </w:p>
    <w:p w14:paraId="32E75F95" w14:textId="350CE670" w:rsidR="00757DA1" w:rsidRPr="00C62E78" w:rsidRDefault="00757DA1" w:rsidP="00757DA1">
      <w:pPr>
        <w:spacing w:line="360" w:lineRule="auto"/>
        <w:jc w:val="both"/>
        <w:rPr>
          <w:i/>
        </w:rPr>
      </w:pPr>
      <w:r w:rsidRPr="00C62E78">
        <w:rPr>
          <w:b/>
          <w:i/>
        </w:rPr>
        <w:t>Descripción</w:t>
      </w:r>
      <w:r w:rsidRPr="00C62E78">
        <w:rPr>
          <w:b/>
          <w:i/>
        </w:rPr>
        <w:tab/>
      </w:r>
      <w:r w:rsidRPr="00C62E78">
        <w:rPr>
          <w:b/>
          <w:i/>
        </w:rPr>
        <w:tab/>
      </w:r>
      <w:r w:rsidRPr="00C62E78">
        <w:rPr>
          <w:b/>
          <w:i/>
        </w:rPr>
        <w:tab/>
      </w:r>
      <w:r w:rsidRPr="00C62E78">
        <w:rPr>
          <w:b/>
          <w:i/>
        </w:rPr>
        <w:tab/>
      </w:r>
      <w:r w:rsidRPr="00C62E78">
        <w:rPr>
          <w:b/>
          <w:i/>
        </w:rPr>
        <w:tab/>
      </w:r>
      <w:r w:rsidRPr="00C62E78">
        <w:rPr>
          <w:b/>
          <w:i/>
        </w:rPr>
        <w:tab/>
      </w:r>
      <w:r w:rsidRPr="00C62E78">
        <w:rPr>
          <w:b/>
          <w:i/>
        </w:rPr>
        <w:tab/>
      </w:r>
      <w:r w:rsidR="003E0715" w:rsidRPr="00C62E78">
        <w:rPr>
          <w:b/>
          <w:i/>
        </w:rPr>
        <w:t>2022</w:t>
      </w:r>
      <w:r w:rsidR="003E0715" w:rsidRPr="00C62E78">
        <w:rPr>
          <w:b/>
          <w:i/>
        </w:rPr>
        <w:tab/>
      </w:r>
      <w:r w:rsidR="003E0715" w:rsidRPr="00C62E78">
        <w:rPr>
          <w:b/>
          <w:i/>
        </w:rPr>
        <w:tab/>
        <w:t xml:space="preserve">    2021</w:t>
      </w:r>
    </w:p>
    <w:tbl>
      <w:tblPr>
        <w:tblW w:w="10120" w:type="dxa"/>
        <w:tblInd w:w="93" w:type="dxa"/>
        <w:tblLook w:val="04A0" w:firstRow="1" w:lastRow="0" w:firstColumn="1" w:lastColumn="0" w:noHBand="0" w:noVBand="1"/>
      </w:tblPr>
      <w:tblGrid>
        <w:gridCol w:w="4800"/>
        <w:gridCol w:w="1840"/>
        <w:gridCol w:w="1740"/>
        <w:gridCol w:w="1740"/>
      </w:tblGrid>
      <w:tr w:rsidR="00AB26F4" w:rsidRPr="00C62E78" w14:paraId="32E75F99" w14:textId="77777777" w:rsidTr="00CE56B2">
        <w:trPr>
          <w:trHeight w:val="345"/>
        </w:trPr>
        <w:tc>
          <w:tcPr>
            <w:tcW w:w="4800" w:type="dxa"/>
            <w:tcBorders>
              <w:top w:val="nil"/>
              <w:left w:val="nil"/>
              <w:bottom w:val="nil"/>
              <w:right w:val="nil"/>
            </w:tcBorders>
            <w:shd w:val="clear" w:color="auto" w:fill="auto"/>
            <w:noWrap/>
            <w:vAlign w:val="center"/>
            <w:hideMark/>
          </w:tcPr>
          <w:p w14:paraId="32E75F96" w14:textId="77777777" w:rsidR="00AB26F4" w:rsidRPr="00C62E78" w:rsidRDefault="00AB26F4" w:rsidP="00AB26F4">
            <w:pPr>
              <w:jc w:val="both"/>
              <w:rPr>
                <w:i/>
                <w:color w:val="000000"/>
              </w:rPr>
            </w:pPr>
            <w:r w:rsidRPr="00C62E78">
              <w:rPr>
                <w:i/>
                <w:color w:val="000000"/>
              </w:rPr>
              <w:t>Banco de Reservas</w:t>
            </w:r>
          </w:p>
        </w:tc>
        <w:tc>
          <w:tcPr>
            <w:tcW w:w="1840" w:type="dxa"/>
            <w:tcBorders>
              <w:top w:val="nil"/>
              <w:left w:val="nil"/>
              <w:bottom w:val="nil"/>
              <w:right w:val="nil"/>
            </w:tcBorders>
            <w:shd w:val="clear" w:color="auto" w:fill="auto"/>
            <w:noWrap/>
            <w:vAlign w:val="center"/>
            <w:hideMark/>
          </w:tcPr>
          <w:p w14:paraId="32E75F97" w14:textId="776844CB" w:rsidR="00AB26F4" w:rsidRPr="00C62E78" w:rsidRDefault="00AB26F4" w:rsidP="00AB26F4">
            <w:pPr>
              <w:jc w:val="right"/>
              <w:rPr>
                <w:i/>
                <w:color w:val="000000"/>
                <w:u w:val="single"/>
              </w:rPr>
            </w:pPr>
            <w:r w:rsidRPr="00C62E78">
              <w:rPr>
                <w:i/>
                <w:color w:val="000000"/>
                <w:u w:val="single"/>
              </w:rPr>
              <w:t>82,948,215.50</w:t>
            </w:r>
          </w:p>
        </w:tc>
        <w:tc>
          <w:tcPr>
            <w:tcW w:w="1740" w:type="dxa"/>
            <w:tcBorders>
              <w:top w:val="nil"/>
              <w:left w:val="nil"/>
              <w:bottom w:val="nil"/>
              <w:right w:val="nil"/>
            </w:tcBorders>
            <w:vAlign w:val="center"/>
          </w:tcPr>
          <w:p w14:paraId="269B4177" w14:textId="769746D7" w:rsidR="00AB26F4" w:rsidRPr="00C62E78" w:rsidRDefault="00AB26F4" w:rsidP="00AB26F4">
            <w:pPr>
              <w:jc w:val="right"/>
              <w:rPr>
                <w:i/>
                <w:color w:val="000000"/>
                <w:u w:val="single"/>
              </w:rPr>
            </w:pPr>
            <w:r w:rsidRPr="00C62E78">
              <w:rPr>
                <w:i/>
                <w:color w:val="000000"/>
                <w:u w:val="single"/>
              </w:rPr>
              <w:t>51,344,819.92</w:t>
            </w:r>
          </w:p>
        </w:tc>
        <w:tc>
          <w:tcPr>
            <w:tcW w:w="1740" w:type="dxa"/>
            <w:tcBorders>
              <w:top w:val="nil"/>
              <w:left w:val="nil"/>
              <w:bottom w:val="nil"/>
              <w:right w:val="nil"/>
            </w:tcBorders>
            <w:shd w:val="clear" w:color="auto" w:fill="auto"/>
            <w:noWrap/>
            <w:vAlign w:val="center"/>
          </w:tcPr>
          <w:p w14:paraId="32E75F98" w14:textId="20B1DFF1" w:rsidR="00AB26F4" w:rsidRPr="00C62E78" w:rsidRDefault="00AB26F4" w:rsidP="00AB26F4">
            <w:pPr>
              <w:jc w:val="right"/>
              <w:rPr>
                <w:i/>
                <w:color w:val="000000"/>
                <w:u w:val="single"/>
              </w:rPr>
            </w:pPr>
          </w:p>
        </w:tc>
      </w:tr>
      <w:tr w:rsidR="00AB26F4" w:rsidRPr="002F43B9" w14:paraId="32E75F9D" w14:textId="77777777" w:rsidTr="00CE56B2">
        <w:trPr>
          <w:trHeight w:val="300"/>
        </w:trPr>
        <w:tc>
          <w:tcPr>
            <w:tcW w:w="4800" w:type="dxa"/>
            <w:tcBorders>
              <w:top w:val="nil"/>
              <w:left w:val="nil"/>
              <w:bottom w:val="nil"/>
              <w:right w:val="nil"/>
            </w:tcBorders>
            <w:shd w:val="clear" w:color="auto" w:fill="auto"/>
            <w:noWrap/>
            <w:vAlign w:val="center"/>
            <w:hideMark/>
          </w:tcPr>
          <w:p w14:paraId="32E75F9A" w14:textId="77777777" w:rsidR="00AB26F4" w:rsidRPr="00C62E78" w:rsidRDefault="00AB26F4" w:rsidP="00AB26F4">
            <w:pPr>
              <w:jc w:val="both"/>
              <w:rPr>
                <w:b/>
                <w:bCs/>
                <w:i/>
                <w:color w:val="000000"/>
              </w:rPr>
            </w:pPr>
            <w:proofErr w:type="gramStart"/>
            <w:r w:rsidRPr="00C62E78">
              <w:rPr>
                <w:b/>
                <w:bCs/>
                <w:i/>
                <w:color w:val="000000"/>
              </w:rPr>
              <w:t>Total</w:t>
            </w:r>
            <w:proofErr w:type="gramEnd"/>
            <w:r w:rsidRPr="00C62E78">
              <w:rPr>
                <w:b/>
                <w:bCs/>
                <w:i/>
                <w:color w:val="000000"/>
              </w:rPr>
              <w:t xml:space="preserve"> Disponible en Inversiones</w:t>
            </w:r>
          </w:p>
        </w:tc>
        <w:tc>
          <w:tcPr>
            <w:tcW w:w="1840" w:type="dxa"/>
            <w:tcBorders>
              <w:top w:val="nil"/>
              <w:left w:val="nil"/>
              <w:bottom w:val="nil"/>
              <w:right w:val="nil"/>
            </w:tcBorders>
            <w:shd w:val="clear" w:color="auto" w:fill="auto"/>
            <w:noWrap/>
            <w:vAlign w:val="center"/>
            <w:hideMark/>
          </w:tcPr>
          <w:p w14:paraId="32E75F9B" w14:textId="3604F496" w:rsidR="00AB26F4" w:rsidRPr="00C62E78" w:rsidRDefault="00AB26F4" w:rsidP="00AB26F4">
            <w:pPr>
              <w:jc w:val="right"/>
              <w:rPr>
                <w:b/>
                <w:bCs/>
                <w:i/>
                <w:color w:val="000000"/>
                <w:u w:val="double"/>
              </w:rPr>
            </w:pPr>
            <w:bookmarkStart w:id="138" w:name="_Hlk123828079"/>
            <w:r w:rsidRPr="00C62E78">
              <w:rPr>
                <w:b/>
                <w:i/>
                <w:color w:val="000000"/>
                <w:u w:val="double"/>
              </w:rPr>
              <w:t>82,948,215.50</w:t>
            </w:r>
            <w:bookmarkEnd w:id="138"/>
          </w:p>
        </w:tc>
        <w:tc>
          <w:tcPr>
            <w:tcW w:w="1740" w:type="dxa"/>
            <w:tcBorders>
              <w:top w:val="nil"/>
              <w:left w:val="nil"/>
              <w:bottom w:val="nil"/>
              <w:right w:val="nil"/>
            </w:tcBorders>
            <w:vAlign w:val="center"/>
          </w:tcPr>
          <w:p w14:paraId="223A9906" w14:textId="24859933" w:rsidR="00AB26F4" w:rsidRPr="00A31CE1" w:rsidRDefault="00AB26F4" w:rsidP="00AB26F4">
            <w:pPr>
              <w:jc w:val="right"/>
              <w:rPr>
                <w:b/>
                <w:i/>
                <w:color w:val="000000"/>
                <w:u w:val="double"/>
              </w:rPr>
            </w:pPr>
            <w:r w:rsidRPr="00C62E78">
              <w:rPr>
                <w:b/>
                <w:i/>
                <w:color w:val="000000"/>
                <w:u w:val="double"/>
              </w:rPr>
              <w:t>51,344,819.92</w:t>
            </w:r>
          </w:p>
        </w:tc>
        <w:tc>
          <w:tcPr>
            <w:tcW w:w="1740" w:type="dxa"/>
            <w:tcBorders>
              <w:top w:val="nil"/>
              <w:left w:val="nil"/>
              <w:bottom w:val="nil"/>
              <w:right w:val="nil"/>
            </w:tcBorders>
            <w:shd w:val="clear" w:color="auto" w:fill="auto"/>
            <w:noWrap/>
            <w:vAlign w:val="center"/>
          </w:tcPr>
          <w:p w14:paraId="32E75F9C" w14:textId="62E8E123" w:rsidR="00AB26F4" w:rsidRPr="002F43B9" w:rsidRDefault="00AB26F4" w:rsidP="00AB26F4">
            <w:pPr>
              <w:jc w:val="right"/>
              <w:rPr>
                <w:b/>
                <w:bCs/>
                <w:i/>
                <w:color w:val="000000"/>
                <w:u w:val="double"/>
              </w:rPr>
            </w:pPr>
          </w:p>
        </w:tc>
      </w:tr>
    </w:tbl>
    <w:p w14:paraId="32E75F9E" w14:textId="6387C4FE" w:rsidR="002B0864" w:rsidRDefault="002B0864" w:rsidP="00757DA1">
      <w:pPr>
        <w:spacing w:line="360" w:lineRule="auto"/>
        <w:jc w:val="both"/>
        <w:rPr>
          <w:b/>
          <w:i/>
          <w:sz w:val="28"/>
        </w:rPr>
      </w:pPr>
      <w:r w:rsidRPr="002B0864">
        <w:rPr>
          <w:b/>
          <w:i/>
          <w:sz w:val="28"/>
        </w:rPr>
        <w:lastRenderedPageBreak/>
        <w:t>Nota 8 Cuentas por Cobrar</w:t>
      </w:r>
      <w:r w:rsidR="00557A3D">
        <w:rPr>
          <w:b/>
          <w:i/>
          <w:sz w:val="28"/>
        </w:rPr>
        <w:t xml:space="preserve"> a corto plazo</w:t>
      </w:r>
    </w:p>
    <w:p w14:paraId="32E75F9F" w14:textId="73951AF7" w:rsidR="00757DA1" w:rsidRDefault="00757DA1" w:rsidP="00757DA1">
      <w:pPr>
        <w:spacing w:line="360" w:lineRule="auto"/>
        <w:jc w:val="both"/>
        <w:rPr>
          <w:i/>
        </w:rPr>
      </w:pPr>
      <w:r w:rsidRPr="000033C3">
        <w:rPr>
          <w:bCs/>
          <w:i/>
          <w:lang w:eastAsia="es-ES"/>
        </w:rPr>
        <w:t xml:space="preserve">Al </w:t>
      </w:r>
      <w:r w:rsidRPr="00D04DC6">
        <w:rPr>
          <w:bCs/>
          <w:i/>
          <w:lang w:eastAsia="es-ES"/>
        </w:rPr>
        <w:t xml:space="preserve">31 de Diciembre </w:t>
      </w:r>
      <w:r w:rsidRPr="002E6615">
        <w:rPr>
          <w:rStyle w:val="CarCar"/>
          <w:rFonts w:ascii="Times New Roman" w:hAnsi="Times New Roman" w:cs="Times New Roman"/>
          <w:b w:val="0"/>
          <w:i/>
          <w:sz w:val="24"/>
        </w:rPr>
        <w:t xml:space="preserve">de los </w:t>
      </w:r>
      <w:proofErr w:type="gramStart"/>
      <w:r w:rsidRPr="002E6615">
        <w:rPr>
          <w:rStyle w:val="CarCar"/>
          <w:rFonts w:ascii="Times New Roman" w:hAnsi="Times New Roman" w:cs="Times New Roman"/>
          <w:b w:val="0"/>
          <w:i/>
          <w:sz w:val="24"/>
        </w:rPr>
        <w:t xml:space="preserve">años  </w:t>
      </w:r>
      <w:r w:rsidR="00927B59" w:rsidRPr="00BD5449">
        <w:rPr>
          <w:rStyle w:val="CarCar"/>
          <w:rFonts w:ascii="Times New Roman" w:hAnsi="Times New Roman" w:cs="Times New Roman"/>
          <w:b w:val="0"/>
          <w:i/>
          <w:sz w:val="24"/>
        </w:rPr>
        <w:t>202</w:t>
      </w:r>
      <w:r w:rsidR="00927B59">
        <w:rPr>
          <w:rStyle w:val="CarCar"/>
          <w:rFonts w:ascii="Times New Roman" w:hAnsi="Times New Roman" w:cs="Times New Roman"/>
          <w:b w:val="0"/>
          <w:i/>
          <w:sz w:val="24"/>
        </w:rPr>
        <w:t>2</w:t>
      </w:r>
      <w:proofErr w:type="gramEnd"/>
      <w:r w:rsidR="00927B59" w:rsidRPr="00BD5449">
        <w:rPr>
          <w:rStyle w:val="CarCar"/>
          <w:rFonts w:ascii="Times New Roman" w:hAnsi="Times New Roman" w:cs="Times New Roman"/>
          <w:b w:val="0"/>
          <w:i/>
          <w:sz w:val="24"/>
        </w:rPr>
        <w:t xml:space="preserve">  y  20</w:t>
      </w:r>
      <w:r w:rsidR="00927B59">
        <w:rPr>
          <w:rStyle w:val="CarCar"/>
          <w:rFonts w:ascii="Times New Roman" w:hAnsi="Times New Roman" w:cs="Times New Roman"/>
          <w:b w:val="0"/>
          <w:i/>
          <w:sz w:val="24"/>
        </w:rPr>
        <w:t>21</w:t>
      </w:r>
      <w:r w:rsidRPr="00BB3464">
        <w:rPr>
          <w:i/>
        </w:rPr>
        <w:t>,</w:t>
      </w:r>
      <w:r w:rsidRPr="002E6615">
        <w:rPr>
          <w:i/>
        </w:rPr>
        <w:t xml:space="preserve"> este rubro está representado Cuentas por Cobrar Funcionarios y Empleado</w:t>
      </w:r>
      <w:r w:rsidR="001316E5">
        <w:rPr>
          <w:i/>
        </w:rPr>
        <w:t xml:space="preserve">, Otras Cuentas por Cobrar </w:t>
      </w:r>
      <w:r w:rsidRPr="002E6615">
        <w:rPr>
          <w:i/>
        </w:rPr>
        <w:t>y Anticipo</w:t>
      </w:r>
      <w:r w:rsidR="00C242E1">
        <w:rPr>
          <w:i/>
        </w:rPr>
        <w:t>-Construcción Escuela Previsional</w:t>
      </w:r>
      <w:r w:rsidRPr="002E6615">
        <w:rPr>
          <w:i/>
        </w:rPr>
        <w:t>:</w:t>
      </w:r>
    </w:p>
    <w:p w14:paraId="32E75FA0" w14:textId="77777777" w:rsidR="002B0864" w:rsidRPr="002B0864" w:rsidRDefault="002B0864" w:rsidP="00757DA1">
      <w:pPr>
        <w:spacing w:line="360" w:lineRule="auto"/>
        <w:jc w:val="both"/>
        <w:rPr>
          <w:b/>
          <w:i/>
          <w:sz w:val="16"/>
        </w:rPr>
      </w:pPr>
    </w:p>
    <w:p w14:paraId="32E75FA1" w14:textId="77777777" w:rsidR="00757DA1" w:rsidRPr="00D635E4" w:rsidRDefault="002B0864" w:rsidP="00757DA1">
      <w:pPr>
        <w:spacing w:line="360" w:lineRule="auto"/>
        <w:jc w:val="both"/>
        <w:rPr>
          <w:i/>
        </w:rPr>
      </w:pPr>
      <w:r>
        <w:rPr>
          <w:b/>
          <w:i/>
          <w:sz w:val="28"/>
        </w:rPr>
        <w:t>Nota 8</w:t>
      </w:r>
      <w:r w:rsidR="00757DA1" w:rsidRPr="002E6615">
        <w:rPr>
          <w:b/>
          <w:i/>
          <w:sz w:val="28"/>
        </w:rPr>
        <w:t xml:space="preserve">.1 Cuentas por Cobrar </w:t>
      </w:r>
      <w:r w:rsidR="00757DA1" w:rsidRPr="00C36E9D">
        <w:rPr>
          <w:b/>
          <w:i/>
          <w:sz w:val="28"/>
        </w:rPr>
        <w:t>Funcionarios y Empleados</w:t>
      </w:r>
    </w:p>
    <w:p w14:paraId="32E75FA2" w14:textId="458D6037" w:rsidR="00757DA1" w:rsidRDefault="00757DA1" w:rsidP="00757DA1">
      <w:pPr>
        <w:spacing w:line="360" w:lineRule="auto"/>
        <w:jc w:val="both"/>
        <w:rPr>
          <w:bCs/>
          <w:i/>
          <w:lang w:eastAsia="es-ES"/>
        </w:rPr>
      </w:pPr>
      <w:r w:rsidRPr="000033C3">
        <w:rPr>
          <w:bCs/>
          <w:i/>
          <w:lang w:eastAsia="es-ES"/>
        </w:rPr>
        <w:t xml:space="preserve">Al </w:t>
      </w:r>
      <w:r w:rsidRPr="00D04DC6">
        <w:rPr>
          <w:bCs/>
          <w:i/>
          <w:lang w:eastAsia="es-ES"/>
        </w:rPr>
        <w:t xml:space="preserve">31 de </w:t>
      </w:r>
      <w:proofErr w:type="gramStart"/>
      <w:r w:rsidRPr="00D04DC6">
        <w:rPr>
          <w:bCs/>
          <w:i/>
          <w:lang w:eastAsia="es-ES"/>
        </w:rPr>
        <w:t>Diciembre</w:t>
      </w:r>
      <w:proofErr w:type="gramEnd"/>
      <w:r w:rsidRPr="00D04DC6">
        <w:rPr>
          <w:bCs/>
          <w:i/>
          <w:lang w:eastAsia="es-ES"/>
        </w:rPr>
        <w:t xml:space="preserve"> </w:t>
      </w:r>
      <w:r>
        <w:rPr>
          <w:bCs/>
          <w:i/>
          <w:lang w:eastAsia="es-ES"/>
        </w:rPr>
        <w:t>del año 202</w:t>
      </w:r>
      <w:r w:rsidR="00927B59">
        <w:rPr>
          <w:bCs/>
          <w:i/>
          <w:lang w:eastAsia="es-ES"/>
        </w:rPr>
        <w:t>2</w:t>
      </w:r>
      <w:r>
        <w:rPr>
          <w:bCs/>
          <w:i/>
          <w:lang w:eastAsia="es-ES"/>
        </w:rPr>
        <w:t xml:space="preserve"> esta partida presenta balance de RD$</w:t>
      </w:r>
      <w:r w:rsidR="003F2144" w:rsidRPr="003F2144">
        <w:rPr>
          <w:bCs/>
          <w:i/>
          <w:lang w:eastAsia="es-ES"/>
        </w:rPr>
        <w:t>4,</w:t>
      </w:r>
      <w:r w:rsidR="00BC5746">
        <w:rPr>
          <w:bCs/>
          <w:i/>
          <w:lang w:eastAsia="es-ES"/>
        </w:rPr>
        <w:t>506.80</w:t>
      </w:r>
      <w:r>
        <w:rPr>
          <w:bCs/>
          <w:i/>
          <w:lang w:eastAsia="es-ES"/>
        </w:rPr>
        <w:t xml:space="preserve">, </w:t>
      </w:r>
      <w:r w:rsidRPr="003E5DBC">
        <w:rPr>
          <w:bCs/>
          <w:i/>
          <w:lang w:eastAsia="es-ES"/>
        </w:rPr>
        <w:t>mientras que para el mismo periodo del 20</w:t>
      </w:r>
      <w:r w:rsidR="003F2144">
        <w:rPr>
          <w:bCs/>
          <w:i/>
          <w:lang w:eastAsia="es-ES"/>
        </w:rPr>
        <w:t>2</w:t>
      </w:r>
      <w:r w:rsidR="00927B59">
        <w:rPr>
          <w:bCs/>
          <w:i/>
          <w:lang w:eastAsia="es-ES"/>
        </w:rPr>
        <w:t>1</w:t>
      </w:r>
      <w:r w:rsidRPr="003E5DBC">
        <w:rPr>
          <w:bCs/>
          <w:i/>
          <w:lang w:eastAsia="es-ES"/>
        </w:rPr>
        <w:t xml:space="preserve"> esta partida presenta balances de RD$</w:t>
      </w:r>
      <w:r w:rsidR="00DB69C8">
        <w:rPr>
          <w:bCs/>
          <w:i/>
          <w:lang w:eastAsia="es-ES"/>
        </w:rPr>
        <w:t>4,624.58</w:t>
      </w:r>
      <w:r>
        <w:rPr>
          <w:bCs/>
          <w:i/>
          <w:lang w:eastAsia="es-ES"/>
        </w:rPr>
        <w:t>.</w:t>
      </w:r>
    </w:p>
    <w:p w14:paraId="7EF4FD71" w14:textId="77777777" w:rsidR="00835247" w:rsidRPr="00C734B9" w:rsidRDefault="00835247" w:rsidP="00835247">
      <w:pPr>
        <w:spacing w:line="360" w:lineRule="auto"/>
        <w:jc w:val="both"/>
        <w:rPr>
          <w:b/>
          <w:i/>
        </w:rPr>
      </w:pPr>
      <w:r w:rsidRPr="00F946FD">
        <w:rPr>
          <w:b/>
          <w:i/>
        </w:rPr>
        <w:t>Descripción</w:t>
      </w:r>
      <w:r w:rsidRPr="00F946FD">
        <w:rPr>
          <w:b/>
          <w:i/>
        </w:rPr>
        <w:tab/>
      </w:r>
      <w:r w:rsidRPr="00F946FD">
        <w:rPr>
          <w:b/>
          <w:i/>
        </w:rPr>
        <w:tab/>
      </w:r>
      <w:r w:rsidRPr="00F946FD">
        <w:rPr>
          <w:b/>
          <w:i/>
        </w:rPr>
        <w:tab/>
      </w:r>
      <w:r w:rsidRPr="00F946FD">
        <w:rPr>
          <w:b/>
          <w:i/>
        </w:rPr>
        <w:tab/>
      </w:r>
      <w:r w:rsidRPr="00F946FD">
        <w:rPr>
          <w:b/>
          <w:i/>
        </w:rPr>
        <w:tab/>
      </w:r>
      <w:r w:rsidRPr="00F946FD">
        <w:rPr>
          <w:b/>
          <w:i/>
        </w:rPr>
        <w:tab/>
        <w:t xml:space="preserve">       </w:t>
      </w:r>
      <w:r>
        <w:rPr>
          <w:b/>
          <w:i/>
        </w:rPr>
        <w:t xml:space="preserve">       </w:t>
      </w:r>
      <w:r w:rsidRPr="00F946FD">
        <w:rPr>
          <w:b/>
          <w:i/>
        </w:rPr>
        <w:t xml:space="preserve">     2022</w:t>
      </w:r>
      <w:r w:rsidRPr="00F946FD">
        <w:rPr>
          <w:b/>
          <w:i/>
        </w:rPr>
        <w:tab/>
      </w:r>
      <w:r>
        <w:rPr>
          <w:b/>
          <w:i/>
        </w:rPr>
        <w:t xml:space="preserve">        </w:t>
      </w:r>
      <w:r w:rsidRPr="00F946FD">
        <w:rPr>
          <w:b/>
          <w:i/>
        </w:rPr>
        <w:t xml:space="preserve">   </w:t>
      </w:r>
      <w:r>
        <w:rPr>
          <w:b/>
          <w:i/>
        </w:rPr>
        <w:t xml:space="preserve">      </w:t>
      </w:r>
      <w:r w:rsidRPr="00F946FD">
        <w:rPr>
          <w:b/>
          <w:i/>
        </w:rPr>
        <w:t xml:space="preserve"> 2021</w:t>
      </w:r>
    </w:p>
    <w:p w14:paraId="17ABD8DB" w14:textId="77777777" w:rsidR="00835247" w:rsidRDefault="00835247" w:rsidP="00835247">
      <w:pPr>
        <w:spacing w:line="360" w:lineRule="auto"/>
        <w:rPr>
          <w:i/>
          <w:color w:val="000000"/>
        </w:rPr>
      </w:pPr>
      <w:r>
        <w:rPr>
          <w:i/>
          <w:color w:val="000000"/>
        </w:rPr>
        <w:t xml:space="preserve">Jose </w:t>
      </w:r>
      <w:proofErr w:type="spellStart"/>
      <w:r>
        <w:rPr>
          <w:i/>
          <w:color w:val="000000"/>
        </w:rPr>
        <w:t>Felix</w:t>
      </w:r>
      <w:proofErr w:type="spellEnd"/>
      <w:r>
        <w:rPr>
          <w:i/>
          <w:color w:val="000000"/>
        </w:rPr>
        <w:t xml:space="preserve"> Corporán (Seguro </w:t>
      </w:r>
      <w:proofErr w:type="gramStart"/>
      <w:r>
        <w:rPr>
          <w:i/>
          <w:color w:val="000000"/>
        </w:rPr>
        <w:t xml:space="preserve">Complementario)   </w:t>
      </w:r>
      <w:proofErr w:type="gramEnd"/>
      <w:r>
        <w:rPr>
          <w:i/>
          <w:color w:val="000000"/>
        </w:rPr>
        <w:t xml:space="preserve">                       4,506.80                       0.00</w:t>
      </w:r>
    </w:p>
    <w:p w14:paraId="36AB0654" w14:textId="77777777" w:rsidR="00835247" w:rsidRPr="00B475B5" w:rsidRDefault="00835247" w:rsidP="00835247">
      <w:pPr>
        <w:spacing w:line="360" w:lineRule="auto"/>
        <w:rPr>
          <w:i/>
          <w:color w:val="000000"/>
          <w:u w:val="single"/>
        </w:rPr>
      </w:pPr>
      <w:r>
        <w:rPr>
          <w:i/>
          <w:color w:val="000000"/>
        </w:rPr>
        <w:t>Zoila Martínez (</w:t>
      </w:r>
      <w:r w:rsidRPr="00BD0C76">
        <w:rPr>
          <w:i/>
          <w:color w:val="000000"/>
        </w:rPr>
        <w:t xml:space="preserve">Excedente Seguro de </w:t>
      </w:r>
      <w:proofErr w:type="gramStart"/>
      <w:r w:rsidRPr="00BD0C76">
        <w:rPr>
          <w:i/>
          <w:color w:val="000000"/>
        </w:rPr>
        <w:t>vehículo</w:t>
      </w:r>
      <w:r>
        <w:rPr>
          <w:i/>
          <w:color w:val="000000"/>
        </w:rPr>
        <w:t xml:space="preserve">)   </w:t>
      </w:r>
      <w:proofErr w:type="gramEnd"/>
      <w:r>
        <w:rPr>
          <w:i/>
          <w:color w:val="000000"/>
        </w:rPr>
        <w:t xml:space="preserve">   </w:t>
      </w:r>
      <w:r w:rsidRPr="00B04C9D">
        <w:rPr>
          <w:i/>
          <w:color w:val="000000"/>
        </w:rPr>
        <w:t xml:space="preserve"> </w:t>
      </w:r>
      <w:r>
        <w:rPr>
          <w:i/>
          <w:color w:val="000000"/>
        </w:rPr>
        <w:t xml:space="preserve"> </w:t>
      </w:r>
      <w:r w:rsidRPr="00B04C9D">
        <w:rPr>
          <w:i/>
          <w:color w:val="000000"/>
        </w:rPr>
        <w:t xml:space="preserve">  </w:t>
      </w:r>
      <w:r>
        <w:rPr>
          <w:i/>
          <w:color w:val="000000"/>
        </w:rPr>
        <w:t xml:space="preserve">  </w:t>
      </w:r>
      <w:r>
        <w:rPr>
          <w:i/>
          <w:color w:val="000000"/>
        </w:rPr>
        <w:tab/>
        <w:t xml:space="preserve">   </w:t>
      </w:r>
      <w:r w:rsidRPr="00E30030">
        <w:rPr>
          <w:i/>
          <w:color w:val="000000"/>
          <w:u w:val="single"/>
        </w:rPr>
        <w:t xml:space="preserve">  </w:t>
      </w:r>
      <w:r>
        <w:rPr>
          <w:i/>
          <w:color w:val="000000"/>
          <w:u w:val="single"/>
        </w:rPr>
        <w:t xml:space="preserve"> </w:t>
      </w:r>
      <w:r w:rsidRPr="00E30030">
        <w:rPr>
          <w:i/>
          <w:color w:val="000000"/>
          <w:u w:val="single"/>
        </w:rPr>
        <w:t xml:space="preserve">      0.00</w:t>
      </w:r>
      <w:r w:rsidRPr="00B04C9D">
        <w:rPr>
          <w:i/>
          <w:color w:val="000000"/>
        </w:rPr>
        <w:t xml:space="preserve">        </w:t>
      </w:r>
      <w:r>
        <w:rPr>
          <w:i/>
          <w:color w:val="000000"/>
        </w:rPr>
        <w:t xml:space="preserve">          </w:t>
      </w:r>
      <w:r w:rsidRPr="00B475B5">
        <w:rPr>
          <w:i/>
          <w:color w:val="000000"/>
          <w:u w:val="single"/>
        </w:rPr>
        <w:t>4,624.58</w:t>
      </w:r>
    </w:p>
    <w:p w14:paraId="5A1E83E7" w14:textId="70E97F48" w:rsidR="00835247" w:rsidRPr="002F039C" w:rsidRDefault="00835247" w:rsidP="00835247">
      <w:pPr>
        <w:spacing w:line="360" w:lineRule="auto"/>
        <w:jc w:val="both"/>
        <w:rPr>
          <w:b/>
          <w:i/>
          <w:color w:val="000000"/>
        </w:rPr>
      </w:pPr>
      <w:proofErr w:type="gramStart"/>
      <w:r w:rsidRPr="00452AE3">
        <w:rPr>
          <w:b/>
          <w:i/>
          <w:color w:val="000000"/>
        </w:rPr>
        <w:t>Total</w:t>
      </w:r>
      <w:proofErr w:type="gramEnd"/>
      <w:r w:rsidRPr="00452AE3">
        <w:rPr>
          <w:b/>
          <w:i/>
          <w:color w:val="000000"/>
        </w:rPr>
        <w:t xml:space="preserve"> Cuentas por Cobrar </w:t>
      </w:r>
      <w:proofErr w:type="spellStart"/>
      <w:r w:rsidRPr="00452AE3">
        <w:rPr>
          <w:b/>
          <w:i/>
          <w:color w:val="000000"/>
        </w:rPr>
        <w:t>Func</w:t>
      </w:r>
      <w:proofErr w:type="spellEnd"/>
      <w:r w:rsidRPr="00452AE3">
        <w:rPr>
          <w:b/>
          <w:i/>
          <w:color w:val="000000"/>
        </w:rPr>
        <w:t xml:space="preserve">.  </w:t>
      </w:r>
      <w:proofErr w:type="spellStart"/>
      <w:r w:rsidRPr="00452AE3">
        <w:rPr>
          <w:b/>
          <w:i/>
          <w:color w:val="000000"/>
        </w:rPr>
        <w:t>Empl</w:t>
      </w:r>
      <w:proofErr w:type="spellEnd"/>
      <w:r w:rsidRPr="00452AE3">
        <w:rPr>
          <w:b/>
          <w:i/>
          <w:color w:val="000000"/>
        </w:rPr>
        <w:t>.</w:t>
      </w:r>
      <w:r w:rsidRPr="00B04C9D">
        <w:rPr>
          <w:i/>
          <w:color w:val="000000"/>
        </w:rPr>
        <w:tab/>
      </w:r>
      <w:r w:rsidRPr="00B04C9D">
        <w:rPr>
          <w:i/>
          <w:color w:val="000000"/>
        </w:rPr>
        <w:tab/>
      </w:r>
      <w:r w:rsidRPr="005335EA">
        <w:rPr>
          <w:b/>
          <w:bCs/>
          <w:i/>
          <w:color w:val="000000"/>
        </w:rPr>
        <w:t xml:space="preserve">       </w:t>
      </w:r>
      <w:r>
        <w:rPr>
          <w:b/>
          <w:bCs/>
          <w:i/>
          <w:color w:val="000000"/>
        </w:rPr>
        <w:t xml:space="preserve"> </w:t>
      </w:r>
      <w:r w:rsidRPr="005335EA">
        <w:rPr>
          <w:b/>
          <w:bCs/>
          <w:i/>
          <w:color w:val="000000"/>
        </w:rPr>
        <w:t xml:space="preserve"> </w:t>
      </w:r>
      <w:r>
        <w:rPr>
          <w:b/>
          <w:bCs/>
          <w:i/>
          <w:color w:val="000000"/>
        </w:rPr>
        <w:t xml:space="preserve">      </w:t>
      </w:r>
      <w:r>
        <w:rPr>
          <w:b/>
          <w:bCs/>
          <w:i/>
          <w:color w:val="000000"/>
          <w:u w:val="double"/>
        </w:rPr>
        <w:t xml:space="preserve">  4,506.80</w:t>
      </w:r>
      <w:r w:rsidRPr="00B04C9D">
        <w:rPr>
          <w:b/>
          <w:i/>
          <w:color w:val="000000"/>
        </w:rPr>
        <w:t xml:space="preserve">  </w:t>
      </w:r>
      <w:r>
        <w:rPr>
          <w:b/>
          <w:i/>
          <w:color w:val="000000"/>
        </w:rPr>
        <w:t xml:space="preserve">          </w:t>
      </w:r>
      <w:r w:rsidR="003C62C2">
        <w:rPr>
          <w:b/>
          <w:i/>
          <w:color w:val="000000"/>
        </w:rPr>
        <w:t xml:space="preserve">   </w:t>
      </w:r>
      <w:r>
        <w:rPr>
          <w:b/>
          <w:i/>
          <w:color w:val="000000"/>
        </w:rPr>
        <w:t xml:space="preserve">  </w:t>
      </w:r>
      <w:r w:rsidRPr="00DD1EE5">
        <w:rPr>
          <w:b/>
          <w:i/>
          <w:color w:val="000000"/>
          <w:u w:val="double"/>
        </w:rPr>
        <w:t>4,624.58</w:t>
      </w:r>
    </w:p>
    <w:p w14:paraId="63B721DC" w14:textId="77777777" w:rsidR="00800D07" w:rsidRDefault="00800D07" w:rsidP="00757DA1">
      <w:pPr>
        <w:spacing w:line="360" w:lineRule="auto"/>
        <w:jc w:val="both"/>
        <w:rPr>
          <w:bCs/>
          <w:i/>
          <w:lang w:eastAsia="es-ES"/>
        </w:rPr>
      </w:pPr>
    </w:p>
    <w:p w14:paraId="3126F01C" w14:textId="77777777" w:rsidR="00800D07" w:rsidRPr="004C671D" w:rsidRDefault="00800D07" w:rsidP="00800D07">
      <w:pPr>
        <w:spacing w:line="360" w:lineRule="auto"/>
        <w:jc w:val="both"/>
        <w:rPr>
          <w:b/>
          <w:bCs/>
          <w:i/>
          <w:sz w:val="28"/>
          <w:szCs w:val="28"/>
          <w:lang w:eastAsia="es-ES"/>
        </w:rPr>
      </w:pPr>
      <w:r w:rsidRPr="004C671D">
        <w:rPr>
          <w:b/>
          <w:bCs/>
          <w:i/>
          <w:sz w:val="28"/>
          <w:szCs w:val="28"/>
          <w:lang w:eastAsia="es-ES"/>
        </w:rPr>
        <w:t>Nota 8.2 Otras Cuentas por Cobrar</w:t>
      </w:r>
    </w:p>
    <w:p w14:paraId="3DD62349" w14:textId="77777777" w:rsidR="00800D07" w:rsidRPr="00E649C1" w:rsidRDefault="00800D07" w:rsidP="00800D07">
      <w:pPr>
        <w:spacing w:line="360" w:lineRule="auto"/>
        <w:jc w:val="both"/>
        <w:rPr>
          <w:bCs/>
          <w:i/>
          <w:lang w:eastAsia="es-ES"/>
        </w:rPr>
      </w:pPr>
      <w:r w:rsidRPr="00E649C1">
        <w:rPr>
          <w:bCs/>
          <w:i/>
          <w:lang w:eastAsia="es-ES"/>
        </w:rPr>
        <w:t xml:space="preserve">Al 31 de Diciembre del </w:t>
      </w:r>
      <w:proofErr w:type="gramStart"/>
      <w:r w:rsidRPr="00E649C1">
        <w:rPr>
          <w:bCs/>
          <w:i/>
          <w:lang w:eastAsia="es-ES"/>
        </w:rPr>
        <w:t>20</w:t>
      </w:r>
      <w:r>
        <w:rPr>
          <w:bCs/>
          <w:i/>
          <w:lang w:eastAsia="es-ES"/>
        </w:rPr>
        <w:t>22  esta</w:t>
      </w:r>
      <w:proofErr w:type="gramEnd"/>
      <w:r>
        <w:rPr>
          <w:bCs/>
          <w:i/>
          <w:lang w:eastAsia="es-ES"/>
        </w:rPr>
        <w:t xml:space="preserve"> partida no presente  </w:t>
      </w:r>
      <w:r w:rsidRPr="00E649C1">
        <w:rPr>
          <w:bCs/>
          <w:i/>
          <w:lang w:eastAsia="es-ES"/>
        </w:rPr>
        <w:t>balance, mientras  para el 20</w:t>
      </w:r>
      <w:r>
        <w:rPr>
          <w:bCs/>
          <w:i/>
          <w:lang w:eastAsia="es-ES"/>
        </w:rPr>
        <w:t>21</w:t>
      </w:r>
      <w:r w:rsidRPr="00E649C1">
        <w:rPr>
          <w:bCs/>
          <w:i/>
          <w:lang w:eastAsia="es-ES"/>
        </w:rPr>
        <w:t xml:space="preserve"> este rubro presenta balance</w:t>
      </w:r>
      <w:r>
        <w:rPr>
          <w:bCs/>
          <w:i/>
          <w:lang w:eastAsia="es-ES"/>
        </w:rPr>
        <w:t xml:space="preserve"> un balance de RD$2,992.84</w:t>
      </w:r>
      <w:r w:rsidRPr="00E649C1">
        <w:rPr>
          <w:bCs/>
          <w:i/>
          <w:lang w:eastAsia="es-ES"/>
        </w:rPr>
        <w:t xml:space="preserve">, </w:t>
      </w:r>
      <w:r>
        <w:rPr>
          <w:bCs/>
          <w:i/>
          <w:lang w:eastAsia="es-ES"/>
        </w:rPr>
        <w:t>la</w:t>
      </w:r>
      <w:r w:rsidRPr="00E649C1">
        <w:rPr>
          <w:bCs/>
          <w:i/>
          <w:lang w:eastAsia="es-ES"/>
        </w:rPr>
        <w:t xml:space="preserve"> mism</w:t>
      </w:r>
      <w:r>
        <w:rPr>
          <w:bCs/>
          <w:i/>
          <w:lang w:eastAsia="es-ES"/>
        </w:rPr>
        <w:t>a</w:t>
      </w:r>
      <w:r w:rsidRPr="00E649C1">
        <w:rPr>
          <w:bCs/>
          <w:i/>
          <w:lang w:eastAsia="es-ES"/>
        </w:rPr>
        <w:t xml:space="preserve"> está compuest</w:t>
      </w:r>
      <w:r>
        <w:rPr>
          <w:bCs/>
          <w:i/>
          <w:lang w:eastAsia="es-ES"/>
        </w:rPr>
        <w:t>a según el siguiente detalle</w:t>
      </w:r>
      <w:r w:rsidRPr="00E649C1">
        <w:rPr>
          <w:bCs/>
          <w:i/>
          <w:lang w:eastAsia="es-ES"/>
        </w:rPr>
        <w:t>:</w:t>
      </w:r>
    </w:p>
    <w:p w14:paraId="5B147B70" w14:textId="77777777" w:rsidR="00800D07" w:rsidRPr="002E6615" w:rsidRDefault="00800D07" w:rsidP="00800D07">
      <w:pPr>
        <w:spacing w:line="360" w:lineRule="auto"/>
        <w:rPr>
          <w:b/>
          <w:i/>
        </w:rPr>
      </w:pPr>
      <w:r w:rsidRPr="002E6615">
        <w:rPr>
          <w:b/>
          <w:i/>
        </w:rPr>
        <w:t>Descripción</w:t>
      </w:r>
      <w:r w:rsidRPr="002E6615">
        <w:rPr>
          <w:b/>
          <w:i/>
        </w:rPr>
        <w:tab/>
      </w:r>
      <w:r w:rsidRPr="002E6615">
        <w:rPr>
          <w:b/>
          <w:i/>
        </w:rPr>
        <w:tab/>
      </w:r>
      <w:r w:rsidRPr="002E6615">
        <w:rPr>
          <w:b/>
          <w:i/>
        </w:rPr>
        <w:tab/>
      </w:r>
      <w:r w:rsidRPr="002E6615">
        <w:rPr>
          <w:b/>
          <w:i/>
        </w:rPr>
        <w:tab/>
      </w:r>
      <w:r w:rsidRPr="002E6615">
        <w:rPr>
          <w:b/>
          <w:i/>
        </w:rPr>
        <w:tab/>
      </w:r>
      <w:r w:rsidRPr="002E6615">
        <w:rPr>
          <w:b/>
          <w:i/>
        </w:rPr>
        <w:tab/>
      </w:r>
      <w:r>
        <w:rPr>
          <w:b/>
          <w:i/>
        </w:rPr>
        <w:t xml:space="preserve">            2022</w:t>
      </w:r>
      <w:r>
        <w:rPr>
          <w:b/>
          <w:i/>
        </w:rPr>
        <w:tab/>
      </w:r>
      <w:r>
        <w:rPr>
          <w:b/>
          <w:i/>
        </w:rPr>
        <w:tab/>
        <w:t xml:space="preserve">    2021</w:t>
      </w:r>
    </w:p>
    <w:tbl>
      <w:tblPr>
        <w:tblW w:w="8379" w:type="dxa"/>
        <w:tblInd w:w="93" w:type="dxa"/>
        <w:tblLook w:val="04A0" w:firstRow="1" w:lastRow="0" w:firstColumn="1" w:lastColumn="0" w:noHBand="0" w:noVBand="1"/>
      </w:tblPr>
      <w:tblGrid>
        <w:gridCol w:w="5160"/>
        <w:gridCol w:w="1518"/>
        <w:gridCol w:w="1701"/>
      </w:tblGrid>
      <w:tr w:rsidR="00800D07" w:rsidRPr="00E83E53" w14:paraId="29FB78A9" w14:textId="77777777" w:rsidTr="00F81D58">
        <w:trPr>
          <w:trHeight w:val="345"/>
        </w:trPr>
        <w:tc>
          <w:tcPr>
            <w:tcW w:w="5160" w:type="dxa"/>
            <w:tcBorders>
              <w:top w:val="nil"/>
              <w:left w:val="nil"/>
              <w:bottom w:val="nil"/>
              <w:right w:val="nil"/>
            </w:tcBorders>
            <w:shd w:val="clear" w:color="auto" w:fill="auto"/>
            <w:noWrap/>
            <w:vAlign w:val="center"/>
          </w:tcPr>
          <w:p w14:paraId="3BD06250" w14:textId="77777777" w:rsidR="00800D07" w:rsidRDefault="00800D07" w:rsidP="00F81D58">
            <w:pPr>
              <w:jc w:val="both"/>
              <w:rPr>
                <w:i/>
                <w:color w:val="000000"/>
              </w:rPr>
            </w:pPr>
            <w:r>
              <w:rPr>
                <w:i/>
                <w:color w:val="000000"/>
              </w:rPr>
              <w:t>Humano Seguros S.A.</w:t>
            </w:r>
          </w:p>
        </w:tc>
        <w:tc>
          <w:tcPr>
            <w:tcW w:w="1518" w:type="dxa"/>
            <w:tcBorders>
              <w:top w:val="nil"/>
              <w:left w:val="nil"/>
              <w:bottom w:val="nil"/>
              <w:right w:val="nil"/>
            </w:tcBorders>
            <w:shd w:val="clear" w:color="auto" w:fill="auto"/>
            <w:noWrap/>
            <w:vAlign w:val="center"/>
          </w:tcPr>
          <w:p w14:paraId="44585CBF" w14:textId="77777777" w:rsidR="00800D07" w:rsidRPr="00030584" w:rsidRDefault="00800D07" w:rsidP="00F81D58">
            <w:pPr>
              <w:jc w:val="right"/>
              <w:rPr>
                <w:i/>
                <w:color w:val="000000"/>
                <w:u w:val="single"/>
              </w:rPr>
            </w:pPr>
            <w:r>
              <w:rPr>
                <w:i/>
                <w:color w:val="000000"/>
                <w:u w:val="single"/>
              </w:rPr>
              <w:t xml:space="preserve">      </w:t>
            </w:r>
            <w:r w:rsidRPr="00030584">
              <w:rPr>
                <w:i/>
                <w:color w:val="000000"/>
                <w:u w:val="single"/>
              </w:rPr>
              <w:t>0.00</w:t>
            </w:r>
          </w:p>
        </w:tc>
        <w:tc>
          <w:tcPr>
            <w:tcW w:w="1701" w:type="dxa"/>
            <w:tcBorders>
              <w:top w:val="nil"/>
              <w:left w:val="nil"/>
              <w:bottom w:val="nil"/>
              <w:right w:val="nil"/>
            </w:tcBorders>
            <w:shd w:val="clear" w:color="auto" w:fill="auto"/>
            <w:noWrap/>
            <w:vAlign w:val="center"/>
          </w:tcPr>
          <w:p w14:paraId="0CEAE262" w14:textId="77777777" w:rsidR="00800D07" w:rsidRPr="00030584" w:rsidRDefault="00800D07" w:rsidP="00F81D58">
            <w:pPr>
              <w:jc w:val="right"/>
              <w:rPr>
                <w:i/>
                <w:color w:val="000000"/>
                <w:u w:val="single"/>
              </w:rPr>
            </w:pPr>
            <w:r w:rsidRPr="00030584">
              <w:rPr>
                <w:i/>
                <w:color w:val="000000"/>
                <w:u w:val="single"/>
              </w:rPr>
              <w:t>2,992.84</w:t>
            </w:r>
          </w:p>
        </w:tc>
      </w:tr>
      <w:tr w:rsidR="00800D07" w:rsidRPr="003778E1" w14:paraId="1B66D542" w14:textId="77777777" w:rsidTr="00F81D58">
        <w:trPr>
          <w:trHeight w:val="315"/>
        </w:trPr>
        <w:tc>
          <w:tcPr>
            <w:tcW w:w="5160" w:type="dxa"/>
            <w:tcBorders>
              <w:top w:val="nil"/>
              <w:left w:val="nil"/>
              <w:bottom w:val="nil"/>
              <w:right w:val="nil"/>
            </w:tcBorders>
            <w:shd w:val="clear" w:color="auto" w:fill="auto"/>
            <w:noWrap/>
            <w:vAlign w:val="center"/>
          </w:tcPr>
          <w:p w14:paraId="2F50A192" w14:textId="77777777" w:rsidR="00800D07" w:rsidRPr="00E83E53" w:rsidRDefault="00800D07" w:rsidP="00F81D58">
            <w:pPr>
              <w:jc w:val="both"/>
              <w:rPr>
                <w:i/>
                <w:color w:val="000000"/>
              </w:rPr>
            </w:pPr>
            <w:proofErr w:type="gramStart"/>
            <w:r w:rsidRPr="00E83E53">
              <w:rPr>
                <w:b/>
                <w:bCs/>
                <w:i/>
                <w:color w:val="000000"/>
              </w:rPr>
              <w:t>Total</w:t>
            </w:r>
            <w:proofErr w:type="gramEnd"/>
            <w:r w:rsidRPr="00E83E53">
              <w:rPr>
                <w:b/>
                <w:bCs/>
                <w:i/>
                <w:color w:val="000000"/>
              </w:rPr>
              <w:t xml:space="preserve"> Otras Cuentas por Cobrar</w:t>
            </w:r>
          </w:p>
        </w:tc>
        <w:tc>
          <w:tcPr>
            <w:tcW w:w="1518" w:type="dxa"/>
            <w:tcBorders>
              <w:top w:val="nil"/>
              <w:left w:val="nil"/>
              <w:bottom w:val="nil"/>
              <w:right w:val="nil"/>
            </w:tcBorders>
            <w:shd w:val="clear" w:color="auto" w:fill="auto"/>
            <w:noWrap/>
            <w:vAlign w:val="center"/>
          </w:tcPr>
          <w:p w14:paraId="43531E07" w14:textId="77777777" w:rsidR="00800D07" w:rsidRPr="00E83E53" w:rsidRDefault="00800D07" w:rsidP="00F81D58">
            <w:pPr>
              <w:jc w:val="right"/>
              <w:rPr>
                <w:i/>
                <w:color w:val="000000"/>
                <w:u w:val="double"/>
              </w:rPr>
            </w:pPr>
            <w:r>
              <w:rPr>
                <w:b/>
                <w:bCs/>
                <w:i/>
                <w:color w:val="000000"/>
                <w:u w:val="double"/>
              </w:rPr>
              <w:t xml:space="preserve">      0.00</w:t>
            </w:r>
          </w:p>
        </w:tc>
        <w:tc>
          <w:tcPr>
            <w:tcW w:w="1701" w:type="dxa"/>
            <w:tcBorders>
              <w:top w:val="nil"/>
              <w:left w:val="nil"/>
              <w:bottom w:val="nil"/>
              <w:right w:val="nil"/>
            </w:tcBorders>
            <w:shd w:val="clear" w:color="auto" w:fill="auto"/>
            <w:noWrap/>
            <w:vAlign w:val="center"/>
          </w:tcPr>
          <w:p w14:paraId="66B3D107" w14:textId="77777777" w:rsidR="00800D07" w:rsidRPr="00A31CE1" w:rsidRDefault="00800D07" w:rsidP="00F81D58">
            <w:pPr>
              <w:jc w:val="right"/>
              <w:rPr>
                <w:i/>
                <w:color w:val="000000"/>
                <w:u w:val="double"/>
              </w:rPr>
            </w:pPr>
            <w:r w:rsidRPr="00A31CE1">
              <w:rPr>
                <w:b/>
                <w:bCs/>
                <w:i/>
                <w:color w:val="000000"/>
                <w:u w:val="double"/>
              </w:rPr>
              <w:t xml:space="preserve">   </w:t>
            </w:r>
            <w:r>
              <w:rPr>
                <w:b/>
                <w:bCs/>
                <w:i/>
                <w:color w:val="000000"/>
                <w:u w:val="double"/>
              </w:rPr>
              <w:t>2,992.84</w:t>
            </w:r>
          </w:p>
        </w:tc>
      </w:tr>
    </w:tbl>
    <w:p w14:paraId="688177E7" w14:textId="77777777" w:rsidR="00800D07" w:rsidRDefault="00800D07" w:rsidP="00757DA1">
      <w:pPr>
        <w:spacing w:line="360" w:lineRule="auto"/>
        <w:jc w:val="both"/>
        <w:rPr>
          <w:bCs/>
          <w:i/>
          <w:lang w:eastAsia="es-ES"/>
        </w:rPr>
      </w:pPr>
    </w:p>
    <w:p w14:paraId="025323BC" w14:textId="33F6264E" w:rsidR="00AA5647" w:rsidRDefault="00AA5647" w:rsidP="00AA5647">
      <w:pPr>
        <w:spacing w:line="360" w:lineRule="auto"/>
        <w:jc w:val="both"/>
        <w:rPr>
          <w:b/>
          <w:i/>
          <w:sz w:val="28"/>
        </w:rPr>
      </w:pPr>
      <w:r>
        <w:rPr>
          <w:b/>
          <w:i/>
          <w:sz w:val="28"/>
        </w:rPr>
        <w:t xml:space="preserve">Nota 8.3 Anticipo Construcción Escuela Previsional </w:t>
      </w:r>
    </w:p>
    <w:p w14:paraId="4A8E9E6A" w14:textId="1995932A" w:rsidR="00AA5647" w:rsidRDefault="00AA5647" w:rsidP="00AA5647">
      <w:pPr>
        <w:spacing w:line="360" w:lineRule="auto"/>
        <w:jc w:val="both"/>
        <w:rPr>
          <w:bCs/>
          <w:i/>
          <w:lang w:eastAsia="es-ES"/>
        </w:rPr>
      </w:pPr>
      <w:r w:rsidRPr="000D4FB6">
        <w:rPr>
          <w:bCs/>
          <w:i/>
          <w:lang w:eastAsia="es-ES"/>
        </w:rPr>
        <w:t>Al 3</w:t>
      </w:r>
      <w:r w:rsidR="00800D07">
        <w:rPr>
          <w:bCs/>
          <w:i/>
          <w:lang w:eastAsia="es-ES"/>
        </w:rPr>
        <w:t>1</w:t>
      </w:r>
      <w:r w:rsidRPr="000D4FB6">
        <w:rPr>
          <w:bCs/>
          <w:i/>
          <w:lang w:eastAsia="es-ES"/>
        </w:rPr>
        <w:t xml:space="preserve"> de </w:t>
      </w:r>
      <w:proofErr w:type="gramStart"/>
      <w:r w:rsidR="00800D07">
        <w:rPr>
          <w:bCs/>
          <w:i/>
          <w:lang w:eastAsia="es-ES"/>
        </w:rPr>
        <w:t>Dicie</w:t>
      </w:r>
      <w:r>
        <w:rPr>
          <w:bCs/>
          <w:i/>
          <w:lang w:eastAsia="es-ES"/>
        </w:rPr>
        <w:t>mbre</w:t>
      </w:r>
      <w:proofErr w:type="gramEnd"/>
      <w:r w:rsidRPr="000D4FB6">
        <w:rPr>
          <w:bCs/>
          <w:i/>
          <w:lang w:eastAsia="es-ES"/>
        </w:rPr>
        <w:t xml:space="preserve"> 2022 esta partida presenta</w:t>
      </w:r>
      <w:r>
        <w:rPr>
          <w:bCs/>
          <w:i/>
          <w:lang w:eastAsia="es-ES"/>
        </w:rPr>
        <w:t xml:space="preserve"> </w:t>
      </w:r>
      <w:r w:rsidRPr="000D4FB6">
        <w:rPr>
          <w:bCs/>
          <w:i/>
          <w:lang w:eastAsia="es-ES"/>
        </w:rPr>
        <w:t>un balance de $ 6,769,987.22</w:t>
      </w:r>
      <w:r>
        <w:rPr>
          <w:bCs/>
          <w:i/>
          <w:lang w:eastAsia="es-ES"/>
        </w:rPr>
        <w:t xml:space="preserve">, mientras que para el mismo periodo del año 2021 este rubro no presenta balance, según </w:t>
      </w:r>
      <w:r w:rsidR="00800D07">
        <w:rPr>
          <w:bCs/>
          <w:i/>
          <w:lang w:eastAsia="es-ES"/>
        </w:rPr>
        <w:t xml:space="preserve">el </w:t>
      </w:r>
      <w:r>
        <w:rPr>
          <w:bCs/>
          <w:i/>
          <w:lang w:eastAsia="es-ES"/>
        </w:rPr>
        <w:t>detalle siguiente:</w:t>
      </w:r>
    </w:p>
    <w:p w14:paraId="5C602E69" w14:textId="77777777" w:rsidR="00AA5647" w:rsidRPr="00186625" w:rsidRDefault="00AA5647" w:rsidP="00AA5647">
      <w:pPr>
        <w:spacing w:line="360" w:lineRule="auto"/>
        <w:jc w:val="both"/>
        <w:rPr>
          <w:b/>
          <w:i/>
          <w:lang w:eastAsia="es-ES"/>
        </w:rPr>
      </w:pPr>
      <w:r>
        <w:rPr>
          <w:bCs/>
          <w:i/>
          <w:lang w:eastAsia="es-ES"/>
        </w:rPr>
        <w:t xml:space="preserve">  </w:t>
      </w:r>
      <w:r w:rsidRPr="00186625">
        <w:rPr>
          <w:b/>
          <w:i/>
          <w:lang w:eastAsia="es-ES"/>
        </w:rPr>
        <w:t>Descripción                                                                            2022                      2021</w:t>
      </w:r>
    </w:p>
    <w:tbl>
      <w:tblPr>
        <w:tblW w:w="8830" w:type="dxa"/>
        <w:tblInd w:w="93" w:type="dxa"/>
        <w:tblLook w:val="04A0" w:firstRow="1" w:lastRow="0" w:firstColumn="1" w:lastColumn="0" w:noHBand="0" w:noVBand="1"/>
      </w:tblPr>
      <w:tblGrid>
        <w:gridCol w:w="4848"/>
        <w:gridCol w:w="1859"/>
        <w:gridCol w:w="224"/>
        <w:gridCol w:w="1899"/>
      </w:tblGrid>
      <w:tr w:rsidR="00AA5647" w:rsidRPr="00F946FD" w14:paraId="568BE182" w14:textId="77777777" w:rsidTr="00BA121E">
        <w:trPr>
          <w:trHeight w:val="307"/>
        </w:trPr>
        <w:tc>
          <w:tcPr>
            <w:tcW w:w="4848" w:type="dxa"/>
            <w:tcBorders>
              <w:top w:val="nil"/>
              <w:left w:val="nil"/>
              <w:bottom w:val="nil"/>
              <w:right w:val="nil"/>
            </w:tcBorders>
            <w:shd w:val="clear" w:color="auto" w:fill="auto"/>
            <w:noWrap/>
            <w:vAlign w:val="center"/>
            <w:hideMark/>
          </w:tcPr>
          <w:p w14:paraId="70E1642F" w14:textId="77777777" w:rsidR="00AA5647" w:rsidRPr="00F946FD" w:rsidRDefault="00AA5647" w:rsidP="00F81D58">
            <w:pPr>
              <w:spacing w:line="360" w:lineRule="auto"/>
              <w:jc w:val="both"/>
              <w:rPr>
                <w:i/>
                <w:color w:val="000000"/>
              </w:rPr>
            </w:pPr>
            <w:r>
              <w:rPr>
                <w:i/>
                <w:color w:val="000000"/>
              </w:rPr>
              <w:t>Consorcio CQ &amp; Asociados</w:t>
            </w:r>
          </w:p>
        </w:tc>
        <w:tc>
          <w:tcPr>
            <w:tcW w:w="1859" w:type="dxa"/>
            <w:tcBorders>
              <w:top w:val="nil"/>
              <w:left w:val="nil"/>
              <w:bottom w:val="nil"/>
              <w:right w:val="nil"/>
            </w:tcBorders>
            <w:shd w:val="clear" w:color="auto" w:fill="auto"/>
            <w:noWrap/>
            <w:hideMark/>
          </w:tcPr>
          <w:p w14:paraId="11CD4A73" w14:textId="77777777" w:rsidR="00AA5647" w:rsidRPr="000D16C3" w:rsidRDefault="00AA5647" w:rsidP="00F81D58">
            <w:pPr>
              <w:spacing w:line="360" w:lineRule="auto"/>
              <w:jc w:val="right"/>
              <w:rPr>
                <w:i/>
                <w:u w:val="single"/>
              </w:rPr>
            </w:pPr>
            <w:r w:rsidRPr="000D16C3">
              <w:rPr>
                <w:i/>
                <w:u w:val="single"/>
              </w:rPr>
              <w:t>6,769,987.22</w:t>
            </w:r>
          </w:p>
        </w:tc>
        <w:tc>
          <w:tcPr>
            <w:tcW w:w="224" w:type="dxa"/>
            <w:tcBorders>
              <w:top w:val="nil"/>
              <w:left w:val="nil"/>
              <w:bottom w:val="nil"/>
              <w:right w:val="nil"/>
            </w:tcBorders>
          </w:tcPr>
          <w:p w14:paraId="0BADDC7F" w14:textId="77777777" w:rsidR="00AA5647" w:rsidRPr="000D16C3" w:rsidRDefault="00AA5647" w:rsidP="00F81D58">
            <w:pPr>
              <w:spacing w:line="360" w:lineRule="auto"/>
              <w:jc w:val="right"/>
              <w:rPr>
                <w:i/>
                <w:u w:val="single"/>
              </w:rPr>
            </w:pPr>
          </w:p>
        </w:tc>
        <w:tc>
          <w:tcPr>
            <w:tcW w:w="1899" w:type="dxa"/>
            <w:tcBorders>
              <w:top w:val="nil"/>
              <w:left w:val="nil"/>
              <w:bottom w:val="nil"/>
              <w:right w:val="nil"/>
            </w:tcBorders>
            <w:shd w:val="clear" w:color="auto" w:fill="auto"/>
            <w:noWrap/>
            <w:hideMark/>
          </w:tcPr>
          <w:p w14:paraId="27F0A8E3" w14:textId="77777777" w:rsidR="00AA5647" w:rsidRPr="000D16C3" w:rsidRDefault="00AA5647" w:rsidP="00F81D58">
            <w:pPr>
              <w:spacing w:line="360" w:lineRule="auto"/>
              <w:rPr>
                <w:i/>
                <w:u w:val="single"/>
              </w:rPr>
            </w:pPr>
            <w:r>
              <w:rPr>
                <w:i/>
                <w:u w:val="single"/>
              </w:rPr>
              <w:t xml:space="preserve">            0.00</w:t>
            </w:r>
          </w:p>
        </w:tc>
      </w:tr>
      <w:tr w:rsidR="00AA5647" w:rsidRPr="002E6615" w14:paraId="7774B946" w14:textId="77777777" w:rsidTr="00BA121E">
        <w:trPr>
          <w:trHeight w:val="307"/>
        </w:trPr>
        <w:tc>
          <w:tcPr>
            <w:tcW w:w="4848" w:type="dxa"/>
            <w:tcBorders>
              <w:top w:val="nil"/>
              <w:left w:val="nil"/>
              <w:bottom w:val="nil"/>
              <w:right w:val="nil"/>
            </w:tcBorders>
            <w:shd w:val="clear" w:color="auto" w:fill="auto"/>
            <w:noWrap/>
            <w:vAlign w:val="center"/>
            <w:hideMark/>
          </w:tcPr>
          <w:p w14:paraId="4F571849" w14:textId="77777777" w:rsidR="00AA5647" w:rsidRPr="00F946FD" w:rsidRDefault="00AA5647" w:rsidP="00F81D58">
            <w:pPr>
              <w:spacing w:line="360" w:lineRule="auto"/>
              <w:jc w:val="both"/>
              <w:rPr>
                <w:b/>
                <w:bCs/>
                <w:i/>
                <w:color w:val="000000"/>
              </w:rPr>
            </w:pPr>
            <w:proofErr w:type="gramStart"/>
            <w:r w:rsidRPr="00F946FD">
              <w:rPr>
                <w:b/>
                <w:bCs/>
                <w:i/>
                <w:color w:val="000000"/>
              </w:rPr>
              <w:t>Total</w:t>
            </w:r>
            <w:proofErr w:type="gramEnd"/>
            <w:r w:rsidRPr="00F946FD">
              <w:rPr>
                <w:b/>
                <w:bCs/>
                <w:i/>
                <w:color w:val="000000"/>
              </w:rPr>
              <w:t xml:space="preserve"> </w:t>
            </w:r>
            <w:r w:rsidRPr="00291E27">
              <w:rPr>
                <w:b/>
                <w:bCs/>
                <w:i/>
                <w:color w:val="000000"/>
                <w:sz w:val="22"/>
                <w:szCs w:val="22"/>
              </w:rPr>
              <w:t>Anticipo Construcción Escuela Previsional</w:t>
            </w:r>
          </w:p>
        </w:tc>
        <w:tc>
          <w:tcPr>
            <w:tcW w:w="1859" w:type="dxa"/>
            <w:tcBorders>
              <w:top w:val="nil"/>
              <w:left w:val="nil"/>
              <w:bottom w:val="nil"/>
              <w:right w:val="nil"/>
            </w:tcBorders>
            <w:shd w:val="clear" w:color="auto" w:fill="auto"/>
            <w:noWrap/>
            <w:vAlign w:val="center"/>
            <w:hideMark/>
          </w:tcPr>
          <w:p w14:paraId="5B4B7D1D" w14:textId="77777777" w:rsidR="00AA5647" w:rsidRPr="00F946FD" w:rsidRDefault="00AA5647" w:rsidP="00F81D58">
            <w:pPr>
              <w:spacing w:line="360" w:lineRule="auto"/>
              <w:jc w:val="right"/>
              <w:rPr>
                <w:b/>
                <w:i/>
                <w:color w:val="000000"/>
                <w:u w:val="double"/>
              </w:rPr>
            </w:pPr>
            <w:r w:rsidRPr="00F946FD">
              <w:rPr>
                <w:b/>
                <w:i/>
                <w:color w:val="000000"/>
                <w:u w:val="double"/>
              </w:rPr>
              <w:t xml:space="preserve">   </w:t>
            </w:r>
            <w:r>
              <w:rPr>
                <w:b/>
                <w:i/>
                <w:color w:val="000000"/>
                <w:u w:val="double"/>
              </w:rPr>
              <w:t>6,769,987.22</w:t>
            </w:r>
          </w:p>
        </w:tc>
        <w:tc>
          <w:tcPr>
            <w:tcW w:w="224" w:type="dxa"/>
            <w:tcBorders>
              <w:top w:val="nil"/>
              <w:left w:val="nil"/>
              <w:bottom w:val="nil"/>
              <w:right w:val="nil"/>
            </w:tcBorders>
          </w:tcPr>
          <w:p w14:paraId="7A0B9E25" w14:textId="77777777" w:rsidR="00AA5647" w:rsidRDefault="00AA5647" w:rsidP="00F81D58">
            <w:pPr>
              <w:spacing w:line="360" w:lineRule="auto"/>
              <w:jc w:val="right"/>
              <w:rPr>
                <w:b/>
                <w:bCs/>
                <w:i/>
                <w:color w:val="000000"/>
                <w:u w:val="double"/>
              </w:rPr>
            </w:pPr>
          </w:p>
        </w:tc>
        <w:tc>
          <w:tcPr>
            <w:tcW w:w="1899" w:type="dxa"/>
            <w:tcBorders>
              <w:top w:val="nil"/>
              <w:left w:val="nil"/>
              <w:bottom w:val="nil"/>
              <w:right w:val="nil"/>
            </w:tcBorders>
            <w:shd w:val="clear" w:color="auto" w:fill="auto"/>
            <w:noWrap/>
            <w:hideMark/>
          </w:tcPr>
          <w:p w14:paraId="2ABEDEC3" w14:textId="77777777" w:rsidR="00AA5647" w:rsidRPr="00277490" w:rsidRDefault="00AA5647" w:rsidP="00F81D58">
            <w:pPr>
              <w:spacing w:line="360" w:lineRule="auto"/>
              <w:rPr>
                <w:b/>
                <w:bCs/>
                <w:i/>
                <w:color w:val="000000"/>
                <w:u w:val="double"/>
              </w:rPr>
            </w:pPr>
            <w:r>
              <w:rPr>
                <w:b/>
                <w:bCs/>
                <w:i/>
                <w:color w:val="000000"/>
                <w:u w:val="double"/>
              </w:rPr>
              <w:t xml:space="preserve">            0.00</w:t>
            </w:r>
            <w:r w:rsidRPr="00F946FD">
              <w:rPr>
                <w:b/>
                <w:bCs/>
                <w:i/>
                <w:color w:val="000000"/>
                <w:u w:val="double"/>
              </w:rPr>
              <w:t xml:space="preserve">   </w:t>
            </w:r>
          </w:p>
        </w:tc>
      </w:tr>
    </w:tbl>
    <w:p w14:paraId="759219C2" w14:textId="77777777" w:rsidR="00800D07" w:rsidRDefault="00800D07" w:rsidP="00757DA1">
      <w:pPr>
        <w:spacing w:line="360" w:lineRule="auto"/>
        <w:jc w:val="both"/>
        <w:rPr>
          <w:b/>
          <w:i/>
          <w:sz w:val="28"/>
        </w:rPr>
      </w:pPr>
    </w:p>
    <w:p w14:paraId="32E75FB4" w14:textId="250B5890" w:rsidR="00757DA1" w:rsidRPr="002E6615" w:rsidRDefault="00757DA1" w:rsidP="00757DA1">
      <w:pPr>
        <w:spacing w:line="360" w:lineRule="auto"/>
        <w:jc w:val="both"/>
        <w:rPr>
          <w:b/>
          <w:i/>
          <w:sz w:val="28"/>
        </w:rPr>
      </w:pPr>
      <w:r w:rsidRPr="002E6615">
        <w:rPr>
          <w:b/>
          <w:i/>
          <w:sz w:val="28"/>
        </w:rPr>
        <w:lastRenderedPageBreak/>
        <w:t xml:space="preserve">Nota </w:t>
      </w:r>
      <w:r w:rsidR="002B0864">
        <w:rPr>
          <w:b/>
          <w:i/>
          <w:sz w:val="28"/>
        </w:rPr>
        <w:t xml:space="preserve">9 </w:t>
      </w:r>
      <w:r w:rsidRPr="002E6615">
        <w:rPr>
          <w:b/>
          <w:i/>
          <w:sz w:val="28"/>
        </w:rPr>
        <w:t>Inventarios</w:t>
      </w:r>
    </w:p>
    <w:p w14:paraId="32E75FB5" w14:textId="7C7639C4" w:rsidR="00757DA1" w:rsidRDefault="00757DA1" w:rsidP="00757DA1">
      <w:pPr>
        <w:spacing w:line="360" w:lineRule="auto"/>
        <w:jc w:val="both"/>
        <w:rPr>
          <w:i/>
        </w:rPr>
      </w:pPr>
      <w:r w:rsidRPr="000033C3">
        <w:rPr>
          <w:bCs/>
          <w:i/>
          <w:lang w:eastAsia="es-ES"/>
        </w:rPr>
        <w:t xml:space="preserve">Al </w:t>
      </w:r>
      <w:r w:rsidRPr="00D04DC6">
        <w:rPr>
          <w:bCs/>
          <w:i/>
          <w:lang w:eastAsia="es-ES"/>
        </w:rPr>
        <w:t xml:space="preserve">31 de Diciembre </w:t>
      </w:r>
      <w:r w:rsidRPr="002E6615">
        <w:rPr>
          <w:rStyle w:val="CarCar"/>
          <w:rFonts w:ascii="Times New Roman" w:hAnsi="Times New Roman" w:cs="Times New Roman"/>
          <w:b w:val="0"/>
          <w:i/>
          <w:sz w:val="24"/>
        </w:rPr>
        <w:t xml:space="preserve">de los </w:t>
      </w:r>
      <w:proofErr w:type="gramStart"/>
      <w:r w:rsidRPr="002E6615">
        <w:rPr>
          <w:rStyle w:val="CarCar"/>
          <w:rFonts w:ascii="Times New Roman" w:hAnsi="Times New Roman" w:cs="Times New Roman"/>
          <w:b w:val="0"/>
          <w:i/>
          <w:sz w:val="24"/>
        </w:rPr>
        <w:t xml:space="preserve">años  </w:t>
      </w:r>
      <w:r w:rsidR="00F05B63" w:rsidRPr="00BD5449">
        <w:rPr>
          <w:rStyle w:val="CarCar"/>
          <w:rFonts w:ascii="Times New Roman" w:hAnsi="Times New Roman" w:cs="Times New Roman"/>
          <w:b w:val="0"/>
          <w:i/>
          <w:sz w:val="24"/>
        </w:rPr>
        <w:t>202</w:t>
      </w:r>
      <w:r w:rsidR="00F05B63">
        <w:rPr>
          <w:rStyle w:val="CarCar"/>
          <w:rFonts w:ascii="Times New Roman" w:hAnsi="Times New Roman" w:cs="Times New Roman"/>
          <w:b w:val="0"/>
          <w:i/>
          <w:sz w:val="24"/>
        </w:rPr>
        <w:t>2</w:t>
      </w:r>
      <w:proofErr w:type="gramEnd"/>
      <w:r w:rsidR="00F05B63" w:rsidRPr="00BD5449">
        <w:rPr>
          <w:rStyle w:val="CarCar"/>
          <w:rFonts w:ascii="Times New Roman" w:hAnsi="Times New Roman" w:cs="Times New Roman"/>
          <w:b w:val="0"/>
          <w:i/>
          <w:sz w:val="24"/>
        </w:rPr>
        <w:t xml:space="preserve">  y  20</w:t>
      </w:r>
      <w:r w:rsidR="00F05B63">
        <w:rPr>
          <w:rStyle w:val="CarCar"/>
          <w:rFonts w:ascii="Times New Roman" w:hAnsi="Times New Roman" w:cs="Times New Roman"/>
          <w:b w:val="0"/>
          <w:i/>
          <w:sz w:val="24"/>
        </w:rPr>
        <w:t>21</w:t>
      </w:r>
      <w:r w:rsidRPr="00C36E9D">
        <w:rPr>
          <w:rStyle w:val="CarCar"/>
          <w:rFonts w:ascii="Times New Roman" w:hAnsi="Times New Roman" w:cs="Times New Roman"/>
          <w:b w:val="0"/>
          <w:i/>
          <w:sz w:val="24"/>
        </w:rPr>
        <w:t xml:space="preserve">, </w:t>
      </w:r>
      <w:r w:rsidRPr="00C36E9D">
        <w:rPr>
          <w:i/>
        </w:rPr>
        <w:t xml:space="preserve">este rubro tiene balances de </w:t>
      </w:r>
      <w:r w:rsidRPr="003E5DBC">
        <w:rPr>
          <w:i/>
        </w:rPr>
        <w:t>RD$</w:t>
      </w:r>
      <w:r w:rsidR="00090797">
        <w:rPr>
          <w:i/>
        </w:rPr>
        <w:t>683,350.11</w:t>
      </w:r>
      <w:r w:rsidR="003F2144">
        <w:rPr>
          <w:i/>
        </w:rPr>
        <w:t xml:space="preserve"> </w:t>
      </w:r>
      <w:r>
        <w:rPr>
          <w:i/>
        </w:rPr>
        <w:t xml:space="preserve">y </w:t>
      </w:r>
      <w:r w:rsidRPr="00090797">
        <w:rPr>
          <w:i/>
        </w:rPr>
        <w:t>RD$</w:t>
      </w:r>
      <w:r w:rsidR="00583D97" w:rsidRPr="00090797">
        <w:rPr>
          <w:i/>
        </w:rPr>
        <w:t>728,849.26</w:t>
      </w:r>
      <w:r w:rsidRPr="003E5DBC">
        <w:rPr>
          <w:i/>
        </w:rPr>
        <w:t>, los mismos están compuestos por los rubros siguientes:</w:t>
      </w:r>
    </w:p>
    <w:p w14:paraId="48D01AD8" w14:textId="77777777" w:rsidR="00625ABD" w:rsidRPr="00C36E9D" w:rsidRDefault="00625ABD" w:rsidP="00757DA1">
      <w:pPr>
        <w:spacing w:line="360" w:lineRule="auto"/>
        <w:jc w:val="both"/>
        <w:rPr>
          <w:i/>
        </w:rPr>
      </w:pPr>
    </w:p>
    <w:p w14:paraId="32E75FB6" w14:textId="2ECEFD1A" w:rsidR="00757DA1" w:rsidRPr="00C36E9D" w:rsidRDefault="00757DA1" w:rsidP="00757DA1">
      <w:pPr>
        <w:spacing w:line="360" w:lineRule="auto"/>
        <w:rPr>
          <w:b/>
          <w:i/>
        </w:rPr>
      </w:pPr>
      <w:r w:rsidRPr="00C36E9D">
        <w:rPr>
          <w:b/>
          <w:i/>
        </w:rPr>
        <w:t>Descripción</w:t>
      </w:r>
      <w:r w:rsidRPr="00C36E9D">
        <w:rPr>
          <w:b/>
          <w:i/>
        </w:rPr>
        <w:tab/>
      </w:r>
      <w:r w:rsidRPr="00C36E9D">
        <w:rPr>
          <w:b/>
          <w:i/>
        </w:rPr>
        <w:tab/>
      </w:r>
      <w:r w:rsidRPr="00C36E9D">
        <w:rPr>
          <w:b/>
          <w:i/>
        </w:rPr>
        <w:tab/>
      </w:r>
      <w:r w:rsidRPr="00C36E9D">
        <w:rPr>
          <w:b/>
          <w:i/>
        </w:rPr>
        <w:tab/>
      </w:r>
      <w:r w:rsidRPr="00C36E9D">
        <w:rPr>
          <w:b/>
          <w:i/>
        </w:rPr>
        <w:tab/>
      </w:r>
      <w:r w:rsidRPr="00C36E9D">
        <w:rPr>
          <w:b/>
          <w:i/>
        </w:rPr>
        <w:tab/>
      </w:r>
      <w:r w:rsidR="003E0715">
        <w:rPr>
          <w:b/>
          <w:i/>
        </w:rPr>
        <w:tab/>
        <w:t>2022</w:t>
      </w:r>
      <w:r w:rsidR="003E0715">
        <w:rPr>
          <w:b/>
          <w:i/>
        </w:rPr>
        <w:tab/>
      </w:r>
      <w:r w:rsidR="003E0715">
        <w:rPr>
          <w:b/>
          <w:i/>
        </w:rPr>
        <w:tab/>
        <w:t xml:space="preserve">    2021</w:t>
      </w:r>
    </w:p>
    <w:tbl>
      <w:tblPr>
        <w:tblW w:w="8570" w:type="dxa"/>
        <w:tblInd w:w="93" w:type="dxa"/>
        <w:tblLook w:val="04A0" w:firstRow="1" w:lastRow="0" w:firstColumn="1" w:lastColumn="0" w:noHBand="0" w:noVBand="1"/>
      </w:tblPr>
      <w:tblGrid>
        <w:gridCol w:w="4828"/>
        <w:gridCol w:w="1851"/>
        <w:gridCol w:w="1891"/>
      </w:tblGrid>
      <w:tr w:rsidR="003F2144" w:rsidRPr="00A31CE1" w14:paraId="32E75FBA" w14:textId="77777777" w:rsidTr="003F2144">
        <w:trPr>
          <w:trHeight w:val="290"/>
        </w:trPr>
        <w:tc>
          <w:tcPr>
            <w:tcW w:w="4828" w:type="dxa"/>
            <w:tcBorders>
              <w:top w:val="nil"/>
              <w:left w:val="nil"/>
              <w:bottom w:val="nil"/>
              <w:right w:val="nil"/>
            </w:tcBorders>
            <w:shd w:val="clear" w:color="auto" w:fill="auto"/>
            <w:noWrap/>
            <w:vAlign w:val="center"/>
            <w:hideMark/>
          </w:tcPr>
          <w:p w14:paraId="32E75FB7" w14:textId="77777777" w:rsidR="003F2144" w:rsidRPr="00A31CE1" w:rsidRDefault="003F2144" w:rsidP="003F2144">
            <w:pPr>
              <w:jc w:val="both"/>
              <w:rPr>
                <w:i/>
                <w:color w:val="000000"/>
              </w:rPr>
            </w:pPr>
            <w:r w:rsidRPr="00A31CE1">
              <w:rPr>
                <w:i/>
                <w:color w:val="000000"/>
              </w:rPr>
              <w:t>Inventario de Materiales de Oficina</w:t>
            </w:r>
          </w:p>
        </w:tc>
        <w:tc>
          <w:tcPr>
            <w:tcW w:w="1851" w:type="dxa"/>
            <w:tcBorders>
              <w:top w:val="nil"/>
              <w:left w:val="nil"/>
              <w:bottom w:val="nil"/>
              <w:right w:val="nil"/>
            </w:tcBorders>
            <w:shd w:val="clear" w:color="auto" w:fill="auto"/>
            <w:noWrap/>
            <w:hideMark/>
          </w:tcPr>
          <w:p w14:paraId="32E75FB8" w14:textId="53E09948" w:rsidR="003F2144" w:rsidRPr="00A31CE1" w:rsidRDefault="00DA57B8" w:rsidP="003F2144">
            <w:pPr>
              <w:jc w:val="right"/>
              <w:rPr>
                <w:i/>
              </w:rPr>
            </w:pPr>
            <w:r>
              <w:rPr>
                <w:i/>
              </w:rPr>
              <w:t>367,484.90</w:t>
            </w:r>
          </w:p>
        </w:tc>
        <w:tc>
          <w:tcPr>
            <w:tcW w:w="1891" w:type="dxa"/>
            <w:tcBorders>
              <w:top w:val="nil"/>
              <w:left w:val="nil"/>
              <w:bottom w:val="nil"/>
              <w:right w:val="nil"/>
            </w:tcBorders>
            <w:shd w:val="clear" w:color="auto" w:fill="auto"/>
            <w:noWrap/>
            <w:hideMark/>
          </w:tcPr>
          <w:p w14:paraId="32E75FB9" w14:textId="25C1EEBE" w:rsidR="003F2144" w:rsidRPr="00DA57B8" w:rsidRDefault="00583D97" w:rsidP="003F2144">
            <w:pPr>
              <w:jc w:val="right"/>
              <w:rPr>
                <w:i/>
              </w:rPr>
            </w:pPr>
            <w:r w:rsidRPr="00DA57B8">
              <w:rPr>
                <w:i/>
              </w:rPr>
              <w:t>364,893.36</w:t>
            </w:r>
          </w:p>
        </w:tc>
      </w:tr>
      <w:tr w:rsidR="003F2144" w:rsidRPr="00A31CE1" w14:paraId="32E75FBE" w14:textId="77777777" w:rsidTr="003F2144">
        <w:trPr>
          <w:trHeight w:val="318"/>
        </w:trPr>
        <w:tc>
          <w:tcPr>
            <w:tcW w:w="4828" w:type="dxa"/>
            <w:tcBorders>
              <w:top w:val="nil"/>
              <w:left w:val="nil"/>
              <w:bottom w:val="nil"/>
              <w:right w:val="nil"/>
            </w:tcBorders>
            <w:shd w:val="clear" w:color="auto" w:fill="auto"/>
            <w:noWrap/>
            <w:vAlign w:val="center"/>
            <w:hideMark/>
          </w:tcPr>
          <w:p w14:paraId="32E75FBB" w14:textId="77777777" w:rsidR="003F2144" w:rsidRPr="00A31CE1" w:rsidRDefault="003F2144" w:rsidP="003F2144">
            <w:pPr>
              <w:jc w:val="both"/>
              <w:rPr>
                <w:i/>
                <w:color w:val="000000"/>
              </w:rPr>
            </w:pPr>
            <w:r w:rsidRPr="00A31CE1">
              <w:rPr>
                <w:i/>
                <w:color w:val="000000"/>
              </w:rPr>
              <w:t>Inventario de Materiales Diversos</w:t>
            </w:r>
          </w:p>
        </w:tc>
        <w:tc>
          <w:tcPr>
            <w:tcW w:w="1851" w:type="dxa"/>
            <w:tcBorders>
              <w:top w:val="nil"/>
              <w:left w:val="nil"/>
              <w:bottom w:val="nil"/>
              <w:right w:val="nil"/>
            </w:tcBorders>
            <w:shd w:val="clear" w:color="auto" w:fill="auto"/>
            <w:noWrap/>
            <w:hideMark/>
          </w:tcPr>
          <w:p w14:paraId="32E75FBC" w14:textId="48A75D6C" w:rsidR="003F2144" w:rsidRPr="00A31CE1" w:rsidRDefault="003F2144" w:rsidP="003F2144">
            <w:pPr>
              <w:jc w:val="right"/>
              <w:rPr>
                <w:i/>
                <w:u w:val="single"/>
              </w:rPr>
            </w:pPr>
            <w:r w:rsidRPr="00A31CE1">
              <w:rPr>
                <w:i/>
                <w:u w:val="single"/>
              </w:rPr>
              <w:t xml:space="preserve">   </w:t>
            </w:r>
            <w:r w:rsidR="00DA57B8">
              <w:rPr>
                <w:i/>
                <w:u w:val="single"/>
              </w:rPr>
              <w:t>315,865.21</w:t>
            </w:r>
          </w:p>
        </w:tc>
        <w:tc>
          <w:tcPr>
            <w:tcW w:w="1891" w:type="dxa"/>
            <w:tcBorders>
              <w:top w:val="nil"/>
              <w:left w:val="nil"/>
              <w:bottom w:val="nil"/>
              <w:right w:val="nil"/>
            </w:tcBorders>
            <w:shd w:val="clear" w:color="auto" w:fill="auto"/>
            <w:noWrap/>
            <w:hideMark/>
          </w:tcPr>
          <w:p w14:paraId="32E75FBD" w14:textId="7D543AA7" w:rsidR="003F2144" w:rsidRPr="00DA57B8" w:rsidRDefault="003F2144" w:rsidP="003F2144">
            <w:pPr>
              <w:jc w:val="right"/>
              <w:rPr>
                <w:i/>
                <w:u w:val="single"/>
              </w:rPr>
            </w:pPr>
            <w:r w:rsidRPr="00DA57B8">
              <w:rPr>
                <w:i/>
                <w:u w:val="single"/>
              </w:rPr>
              <w:t xml:space="preserve">   </w:t>
            </w:r>
            <w:r w:rsidR="00290C2E" w:rsidRPr="00DA57B8">
              <w:rPr>
                <w:i/>
                <w:u w:val="single"/>
              </w:rPr>
              <w:t>363,955.90</w:t>
            </w:r>
          </w:p>
        </w:tc>
      </w:tr>
      <w:tr w:rsidR="003F2144" w:rsidRPr="002E6615" w14:paraId="32E75FC2" w14:textId="77777777" w:rsidTr="003F2144">
        <w:trPr>
          <w:trHeight w:val="290"/>
        </w:trPr>
        <w:tc>
          <w:tcPr>
            <w:tcW w:w="4828" w:type="dxa"/>
            <w:tcBorders>
              <w:top w:val="nil"/>
              <w:left w:val="nil"/>
              <w:bottom w:val="nil"/>
              <w:right w:val="nil"/>
            </w:tcBorders>
            <w:shd w:val="clear" w:color="auto" w:fill="auto"/>
            <w:noWrap/>
            <w:vAlign w:val="center"/>
            <w:hideMark/>
          </w:tcPr>
          <w:p w14:paraId="32E75FBF" w14:textId="77777777" w:rsidR="003F2144" w:rsidRPr="00A31CE1" w:rsidRDefault="003F2144" w:rsidP="003F2144">
            <w:pPr>
              <w:jc w:val="both"/>
              <w:rPr>
                <w:b/>
                <w:bCs/>
                <w:i/>
                <w:color w:val="000000"/>
              </w:rPr>
            </w:pPr>
            <w:r w:rsidRPr="00A31CE1">
              <w:rPr>
                <w:b/>
                <w:bCs/>
                <w:i/>
                <w:color w:val="000000"/>
              </w:rPr>
              <w:t>Total Inventarios de Consumo</w:t>
            </w:r>
          </w:p>
        </w:tc>
        <w:tc>
          <w:tcPr>
            <w:tcW w:w="1851" w:type="dxa"/>
            <w:tcBorders>
              <w:top w:val="nil"/>
              <w:left w:val="nil"/>
              <w:bottom w:val="nil"/>
              <w:right w:val="nil"/>
            </w:tcBorders>
            <w:shd w:val="clear" w:color="auto" w:fill="auto"/>
            <w:noWrap/>
            <w:vAlign w:val="center"/>
            <w:hideMark/>
          </w:tcPr>
          <w:p w14:paraId="32E75FC0" w14:textId="7934FF6B" w:rsidR="003F2144" w:rsidRPr="00A31CE1" w:rsidRDefault="003F2144" w:rsidP="003F2144">
            <w:pPr>
              <w:jc w:val="right"/>
              <w:rPr>
                <w:b/>
                <w:i/>
                <w:color w:val="000000"/>
                <w:u w:val="double"/>
              </w:rPr>
            </w:pPr>
            <w:r w:rsidRPr="00A31CE1">
              <w:rPr>
                <w:b/>
                <w:i/>
                <w:color w:val="000000"/>
                <w:u w:val="double"/>
              </w:rPr>
              <w:t xml:space="preserve">   </w:t>
            </w:r>
            <w:r w:rsidR="00DA57B8">
              <w:rPr>
                <w:b/>
                <w:i/>
                <w:color w:val="000000"/>
                <w:u w:val="double"/>
              </w:rPr>
              <w:t>683,350.11</w:t>
            </w:r>
          </w:p>
        </w:tc>
        <w:tc>
          <w:tcPr>
            <w:tcW w:w="1891" w:type="dxa"/>
            <w:tcBorders>
              <w:top w:val="nil"/>
              <w:left w:val="nil"/>
              <w:bottom w:val="nil"/>
              <w:right w:val="nil"/>
            </w:tcBorders>
            <w:shd w:val="clear" w:color="auto" w:fill="auto"/>
            <w:noWrap/>
            <w:hideMark/>
          </w:tcPr>
          <w:p w14:paraId="32E75FC1" w14:textId="01379599" w:rsidR="003F2144" w:rsidRPr="00DA57B8" w:rsidRDefault="003F2144" w:rsidP="003F2144">
            <w:pPr>
              <w:jc w:val="right"/>
              <w:rPr>
                <w:b/>
                <w:bCs/>
                <w:i/>
                <w:color w:val="000000"/>
                <w:u w:val="double"/>
              </w:rPr>
            </w:pPr>
            <w:r w:rsidRPr="00DA57B8">
              <w:rPr>
                <w:b/>
                <w:bCs/>
                <w:i/>
                <w:color w:val="000000"/>
                <w:u w:val="double"/>
              </w:rPr>
              <w:t xml:space="preserve">   </w:t>
            </w:r>
            <w:r w:rsidR="00290C2E" w:rsidRPr="00DA57B8">
              <w:rPr>
                <w:b/>
                <w:bCs/>
                <w:i/>
                <w:color w:val="000000"/>
                <w:u w:val="double"/>
              </w:rPr>
              <w:t>728</w:t>
            </w:r>
            <w:r w:rsidR="00DA57B8" w:rsidRPr="00DA57B8">
              <w:rPr>
                <w:b/>
                <w:bCs/>
                <w:i/>
                <w:color w:val="000000"/>
                <w:u w:val="double"/>
              </w:rPr>
              <w:t>,</w:t>
            </w:r>
            <w:r w:rsidR="00290C2E" w:rsidRPr="00DA57B8">
              <w:rPr>
                <w:b/>
                <w:bCs/>
                <w:i/>
                <w:color w:val="000000"/>
                <w:u w:val="double"/>
              </w:rPr>
              <w:t>849.26</w:t>
            </w:r>
          </w:p>
        </w:tc>
      </w:tr>
    </w:tbl>
    <w:p w14:paraId="32E75FC3" w14:textId="77777777" w:rsidR="002B0864" w:rsidRPr="002B0864" w:rsidRDefault="002B0864" w:rsidP="00757DA1">
      <w:pPr>
        <w:spacing w:line="360" w:lineRule="auto"/>
        <w:jc w:val="both"/>
        <w:rPr>
          <w:b/>
          <w:i/>
          <w:sz w:val="18"/>
        </w:rPr>
      </w:pPr>
    </w:p>
    <w:p w14:paraId="32E75FC4" w14:textId="77777777" w:rsidR="002B0864" w:rsidRPr="00297C8F" w:rsidRDefault="002B0864" w:rsidP="00757DA1">
      <w:pPr>
        <w:spacing w:line="360" w:lineRule="auto"/>
        <w:jc w:val="both"/>
        <w:rPr>
          <w:b/>
          <w:i/>
          <w:sz w:val="28"/>
        </w:rPr>
      </w:pPr>
      <w:r w:rsidRPr="00297C8F">
        <w:rPr>
          <w:b/>
          <w:i/>
          <w:sz w:val="28"/>
        </w:rPr>
        <w:t>Nota 10 Pagos Anticipados</w:t>
      </w:r>
    </w:p>
    <w:p w14:paraId="32E75FC5" w14:textId="61DB81E8" w:rsidR="00757DA1" w:rsidRPr="00297C8F" w:rsidRDefault="00757DA1" w:rsidP="00757DA1">
      <w:pPr>
        <w:spacing w:line="360" w:lineRule="auto"/>
        <w:jc w:val="both"/>
        <w:rPr>
          <w:i/>
        </w:rPr>
      </w:pPr>
      <w:r w:rsidRPr="00297C8F">
        <w:rPr>
          <w:bCs/>
          <w:i/>
          <w:lang w:eastAsia="es-ES"/>
        </w:rPr>
        <w:t xml:space="preserve">Al 31 de Diciembre </w:t>
      </w:r>
      <w:r w:rsidRPr="00297C8F">
        <w:rPr>
          <w:rStyle w:val="CarCar"/>
          <w:rFonts w:ascii="Times New Roman" w:hAnsi="Times New Roman" w:cs="Times New Roman"/>
          <w:b w:val="0"/>
          <w:i/>
          <w:sz w:val="24"/>
        </w:rPr>
        <w:t xml:space="preserve">de los </w:t>
      </w:r>
      <w:proofErr w:type="gramStart"/>
      <w:r w:rsidRPr="00297C8F">
        <w:rPr>
          <w:rStyle w:val="CarCar"/>
          <w:rFonts w:ascii="Times New Roman" w:hAnsi="Times New Roman" w:cs="Times New Roman"/>
          <w:b w:val="0"/>
          <w:i/>
          <w:sz w:val="24"/>
        </w:rPr>
        <w:t xml:space="preserve">años  </w:t>
      </w:r>
      <w:bookmarkStart w:id="139" w:name="_Hlk123826605"/>
      <w:r w:rsidR="00F05B63" w:rsidRPr="00297C8F">
        <w:rPr>
          <w:rStyle w:val="CarCar"/>
          <w:rFonts w:ascii="Times New Roman" w:hAnsi="Times New Roman" w:cs="Times New Roman"/>
          <w:b w:val="0"/>
          <w:i/>
          <w:sz w:val="24"/>
        </w:rPr>
        <w:t>2022</w:t>
      </w:r>
      <w:proofErr w:type="gramEnd"/>
      <w:r w:rsidR="00F05B63" w:rsidRPr="00297C8F">
        <w:rPr>
          <w:rStyle w:val="CarCar"/>
          <w:rFonts w:ascii="Times New Roman" w:hAnsi="Times New Roman" w:cs="Times New Roman"/>
          <w:b w:val="0"/>
          <w:i/>
          <w:sz w:val="24"/>
        </w:rPr>
        <w:t xml:space="preserve">  y  2021</w:t>
      </w:r>
      <w:bookmarkEnd w:id="139"/>
      <w:r w:rsidRPr="00297C8F">
        <w:rPr>
          <w:rStyle w:val="CarCar"/>
          <w:rFonts w:ascii="Times New Roman" w:hAnsi="Times New Roman" w:cs="Times New Roman"/>
          <w:b w:val="0"/>
          <w:i/>
          <w:sz w:val="24"/>
        </w:rPr>
        <w:t xml:space="preserve">, </w:t>
      </w:r>
      <w:r w:rsidRPr="00297C8F">
        <w:rPr>
          <w:i/>
        </w:rPr>
        <w:t xml:space="preserve">este rubro tiene balances de </w:t>
      </w:r>
      <w:r w:rsidR="003F2144" w:rsidRPr="00297C8F">
        <w:rPr>
          <w:i/>
        </w:rPr>
        <w:t>RD$</w:t>
      </w:r>
      <w:r w:rsidR="00762085" w:rsidRPr="00297C8F">
        <w:rPr>
          <w:i/>
        </w:rPr>
        <w:t>1,412</w:t>
      </w:r>
      <w:r w:rsidR="006670E2" w:rsidRPr="00297C8F">
        <w:rPr>
          <w:i/>
        </w:rPr>
        <w:t>,57</w:t>
      </w:r>
      <w:r w:rsidR="00486E23">
        <w:rPr>
          <w:i/>
        </w:rPr>
        <w:t>6</w:t>
      </w:r>
      <w:r w:rsidR="006670E2" w:rsidRPr="00297C8F">
        <w:rPr>
          <w:i/>
        </w:rPr>
        <w:t>.09</w:t>
      </w:r>
      <w:r w:rsidR="003F2144" w:rsidRPr="00297C8F">
        <w:rPr>
          <w:i/>
        </w:rPr>
        <w:t xml:space="preserve"> </w:t>
      </w:r>
      <w:r w:rsidRPr="00297C8F">
        <w:rPr>
          <w:i/>
        </w:rPr>
        <w:t>y RD$</w:t>
      </w:r>
      <w:r w:rsidR="00A932AF" w:rsidRPr="00297C8F">
        <w:rPr>
          <w:i/>
        </w:rPr>
        <w:t>2,074,149.96</w:t>
      </w:r>
      <w:r w:rsidRPr="00297C8F">
        <w:rPr>
          <w:i/>
        </w:rPr>
        <w:t>, los mismos están compuestos por los Gastos Pagados por Adelantado y Otros Gastos, según el siguiente detalle:</w:t>
      </w:r>
    </w:p>
    <w:p w14:paraId="32E75FC6" w14:textId="0F61F17C" w:rsidR="00757DA1" w:rsidRPr="00297C8F" w:rsidRDefault="00757DA1" w:rsidP="00757DA1">
      <w:pPr>
        <w:spacing w:line="360" w:lineRule="auto"/>
        <w:rPr>
          <w:b/>
          <w:i/>
        </w:rPr>
      </w:pPr>
      <w:r w:rsidRPr="00297C8F">
        <w:rPr>
          <w:b/>
          <w:i/>
        </w:rPr>
        <w:t>Descripción</w:t>
      </w:r>
      <w:r w:rsidRPr="00297C8F">
        <w:rPr>
          <w:b/>
          <w:i/>
        </w:rPr>
        <w:tab/>
      </w:r>
      <w:r w:rsidRPr="00297C8F">
        <w:rPr>
          <w:b/>
          <w:i/>
        </w:rPr>
        <w:tab/>
      </w:r>
      <w:r w:rsidRPr="00297C8F">
        <w:rPr>
          <w:b/>
          <w:i/>
        </w:rPr>
        <w:tab/>
      </w:r>
      <w:r w:rsidRPr="00297C8F">
        <w:rPr>
          <w:b/>
          <w:i/>
        </w:rPr>
        <w:tab/>
      </w:r>
      <w:r w:rsidRPr="00297C8F">
        <w:rPr>
          <w:b/>
          <w:i/>
        </w:rPr>
        <w:tab/>
      </w:r>
      <w:r w:rsidRPr="00297C8F">
        <w:rPr>
          <w:b/>
          <w:i/>
        </w:rPr>
        <w:tab/>
      </w:r>
      <w:r w:rsidR="003E0715" w:rsidRPr="00297C8F">
        <w:rPr>
          <w:b/>
          <w:i/>
        </w:rPr>
        <w:tab/>
        <w:t>2022</w:t>
      </w:r>
      <w:r w:rsidR="003E0715" w:rsidRPr="00297C8F">
        <w:rPr>
          <w:b/>
          <w:i/>
        </w:rPr>
        <w:tab/>
      </w:r>
      <w:r w:rsidR="003E0715" w:rsidRPr="00297C8F">
        <w:rPr>
          <w:b/>
          <w:i/>
        </w:rPr>
        <w:tab/>
        <w:t xml:space="preserve">    2021</w:t>
      </w:r>
    </w:p>
    <w:tbl>
      <w:tblPr>
        <w:tblW w:w="10110" w:type="dxa"/>
        <w:tblInd w:w="93" w:type="dxa"/>
        <w:tblLook w:val="04A0" w:firstRow="1" w:lastRow="0" w:firstColumn="1" w:lastColumn="0" w:noHBand="0" w:noVBand="1"/>
      </w:tblPr>
      <w:tblGrid>
        <w:gridCol w:w="4925"/>
        <w:gridCol w:w="1753"/>
        <w:gridCol w:w="1716"/>
        <w:gridCol w:w="1716"/>
      </w:tblGrid>
      <w:tr w:rsidR="007C62CD" w:rsidRPr="00297C8F" w14:paraId="32E75FCA" w14:textId="77777777" w:rsidTr="007C62CD">
        <w:trPr>
          <w:trHeight w:val="315"/>
        </w:trPr>
        <w:tc>
          <w:tcPr>
            <w:tcW w:w="4925" w:type="dxa"/>
            <w:tcBorders>
              <w:top w:val="nil"/>
              <w:left w:val="nil"/>
              <w:bottom w:val="nil"/>
              <w:right w:val="nil"/>
            </w:tcBorders>
            <w:shd w:val="clear" w:color="auto" w:fill="auto"/>
            <w:noWrap/>
            <w:vAlign w:val="center"/>
          </w:tcPr>
          <w:p w14:paraId="32E75FC7" w14:textId="77777777" w:rsidR="007C62CD" w:rsidRPr="00297C8F" w:rsidRDefault="007C62CD" w:rsidP="007C62CD">
            <w:pPr>
              <w:jc w:val="both"/>
              <w:rPr>
                <w:i/>
              </w:rPr>
            </w:pPr>
            <w:r w:rsidRPr="00297C8F">
              <w:rPr>
                <w:i/>
              </w:rPr>
              <w:t>Seguros de Vehículos</w:t>
            </w:r>
          </w:p>
        </w:tc>
        <w:tc>
          <w:tcPr>
            <w:tcW w:w="1753" w:type="dxa"/>
            <w:tcBorders>
              <w:top w:val="nil"/>
              <w:left w:val="nil"/>
              <w:bottom w:val="nil"/>
              <w:right w:val="nil"/>
            </w:tcBorders>
            <w:shd w:val="clear" w:color="auto" w:fill="auto"/>
            <w:noWrap/>
          </w:tcPr>
          <w:p w14:paraId="32E75FC8" w14:textId="083AB17B" w:rsidR="007C62CD" w:rsidRPr="00297C8F" w:rsidRDefault="00FE4038" w:rsidP="007C62CD">
            <w:pPr>
              <w:jc w:val="right"/>
              <w:rPr>
                <w:i/>
              </w:rPr>
            </w:pPr>
            <w:r w:rsidRPr="00297C8F">
              <w:rPr>
                <w:i/>
              </w:rPr>
              <w:t>266,451.59</w:t>
            </w:r>
          </w:p>
        </w:tc>
        <w:tc>
          <w:tcPr>
            <w:tcW w:w="1716" w:type="dxa"/>
            <w:tcBorders>
              <w:top w:val="nil"/>
              <w:left w:val="nil"/>
              <w:bottom w:val="nil"/>
              <w:right w:val="nil"/>
            </w:tcBorders>
          </w:tcPr>
          <w:p w14:paraId="0327AC13" w14:textId="4F863394" w:rsidR="007C62CD" w:rsidRPr="00297C8F" w:rsidRDefault="007C62CD" w:rsidP="007C62CD">
            <w:pPr>
              <w:jc w:val="right"/>
              <w:rPr>
                <w:i/>
              </w:rPr>
            </w:pPr>
            <w:r w:rsidRPr="00297C8F">
              <w:rPr>
                <w:i/>
              </w:rPr>
              <w:t>278,982.58</w:t>
            </w:r>
          </w:p>
        </w:tc>
        <w:tc>
          <w:tcPr>
            <w:tcW w:w="1716" w:type="dxa"/>
            <w:tcBorders>
              <w:top w:val="nil"/>
              <w:left w:val="nil"/>
              <w:bottom w:val="nil"/>
              <w:right w:val="nil"/>
            </w:tcBorders>
            <w:shd w:val="clear" w:color="auto" w:fill="auto"/>
            <w:noWrap/>
          </w:tcPr>
          <w:p w14:paraId="32E75FC9" w14:textId="39FD8A75" w:rsidR="007C62CD" w:rsidRPr="00297C8F" w:rsidRDefault="007C62CD" w:rsidP="007C62CD">
            <w:pPr>
              <w:jc w:val="right"/>
              <w:rPr>
                <w:i/>
              </w:rPr>
            </w:pPr>
          </w:p>
        </w:tc>
      </w:tr>
      <w:tr w:rsidR="007C62CD" w:rsidRPr="00297C8F" w14:paraId="32E75FCE" w14:textId="77777777" w:rsidTr="007C62CD">
        <w:trPr>
          <w:trHeight w:val="315"/>
        </w:trPr>
        <w:tc>
          <w:tcPr>
            <w:tcW w:w="4925" w:type="dxa"/>
            <w:tcBorders>
              <w:top w:val="nil"/>
              <w:left w:val="nil"/>
              <w:bottom w:val="nil"/>
              <w:right w:val="nil"/>
            </w:tcBorders>
            <w:shd w:val="clear" w:color="auto" w:fill="auto"/>
            <w:noWrap/>
            <w:vAlign w:val="center"/>
          </w:tcPr>
          <w:p w14:paraId="32E75FCB" w14:textId="77777777" w:rsidR="007C62CD" w:rsidRPr="00297C8F" w:rsidRDefault="007C62CD" w:rsidP="007C62CD">
            <w:pPr>
              <w:jc w:val="both"/>
              <w:rPr>
                <w:i/>
              </w:rPr>
            </w:pPr>
            <w:r w:rsidRPr="00297C8F">
              <w:rPr>
                <w:i/>
              </w:rPr>
              <w:t>Seguro Médico</w:t>
            </w:r>
          </w:p>
        </w:tc>
        <w:tc>
          <w:tcPr>
            <w:tcW w:w="1753" w:type="dxa"/>
            <w:tcBorders>
              <w:top w:val="nil"/>
              <w:left w:val="nil"/>
              <w:bottom w:val="nil"/>
              <w:right w:val="nil"/>
            </w:tcBorders>
            <w:shd w:val="clear" w:color="auto" w:fill="auto"/>
            <w:noWrap/>
          </w:tcPr>
          <w:p w14:paraId="32E75FCC" w14:textId="03F37FE5" w:rsidR="007C62CD" w:rsidRPr="00297C8F" w:rsidRDefault="00FE4038" w:rsidP="007C62CD">
            <w:pPr>
              <w:jc w:val="right"/>
              <w:rPr>
                <w:i/>
              </w:rPr>
            </w:pPr>
            <w:r w:rsidRPr="00297C8F">
              <w:rPr>
                <w:i/>
              </w:rPr>
              <w:t>183,333.26</w:t>
            </w:r>
          </w:p>
        </w:tc>
        <w:tc>
          <w:tcPr>
            <w:tcW w:w="1716" w:type="dxa"/>
            <w:tcBorders>
              <w:top w:val="nil"/>
              <w:left w:val="nil"/>
              <w:bottom w:val="nil"/>
              <w:right w:val="nil"/>
            </w:tcBorders>
          </w:tcPr>
          <w:p w14:paraId="2904E29B" w14:textId="6A75A468" w:rsidR="007C62CD" w:rsidRPr="00297C8F" w:rsidRDefault="007C62CD" w:rsidP="007C62CD">
            <w:pPr>
              <w:jc w:val="right"/>
              <w:rPr>
                <w:i/>
              </w:rPr>
            </w:pPr>
            <w:r w:rsidRPr="00297C8F">
              <w:rPr>
                <w:i/>
              </w:rPr>
              <w:t>847,573.98</w:t>
            </w:r>
          </w:p>
        </w:tc>
        <w:tc>
          <w:tcPr>
            <w:tcW w:w="1716" w:type="dxa"/>
            <w:tcBorders>
              <w:top w:val="nil"/>
              <w:left w:val="nil"/>
              <w:bottom w:val="nil"/>
              <w:right w:val="nil"/>
            </w:tcBorders>
            <w:shd w:val="clear" w:color="auto" w:fill="auto"/>
            <w:noWrap/>
          </w:tcPr>
          <w:p w14:paraId="32E75FCD" w14:textId="4EB56D90" w:rsidR="007C62CD" w:rsidRPr="00297C8F" w:rsidRDefault="007C62CD" w:rsidP="007C62CD">
            <w:pPr>
              <w:jc w:val="right"/>
              <w:rPr>
                <w:i/>
              </w:rPr>
            </w:pPr>
          </w:p>
        </w:tc>
      </w:tr>
      <w:tr w:rsidR="007C62CD" w:rsidRPr="00297C8F" w14:paraId="32E75FD2" w14:textId="77777777" w:rsidTr="007C62CD">
        <w:trPr>
          <w:trHeight w:val="315"/>
        </w:trPr>
        <w:tc>
          <w:tcPr>
            <w:tcW w:w="4925" w:type="dxa"/>
            <w:tcBorders>
              <w:top w:val="nil"/>
              <w:left w:val="nil"/>
              <w:bottom w:val="nil"/>
              <w:right w:val="nil"/>
            </w:tcBorders>
            <w:shd w:val="clear" w:color="auto" w:fill="auto"/>
            <w:noWrap/>
            <w:vAlign w:val="center"/>
          </w:tcPr>
          <w:p w14:paraId="32E75FCF" w14:textId="77777777" w:rsidR="007C62CD" w:rsidRPr="00297C8F" w:rsidRDefault="007C62CD" w:rsidP="007C62CD">
            <w:pPr>
              <w:jc w:val="both"/>
              <w:rPr>
                <w:i/>
              </w:rPr>
            </w:pPr>
            <w:r w:rsidRPr="00297C8F">
              <w:rPr>
                <w:i/>
              </w:rPr>
              <w:t>Seguro Incendios y Líneas Aliadas Edificio</w:t>
            </w:r>
          </w:p>
        </w:tc>
        <w:tc>
          <w:tcPr>
            <w:tcW w:w="1753" w:type="dxa"/>
            <w:tcBorders>
              <w:top w:val="nil"/>
              <w:left w:val="nil"/>
              <w:bottom w:val="nil"/>
              <w:right w:val="nil"/>
            </w:tcBorders>
            <w:shd w:val="clear" w:color="auto" w:fill="auto"/>
            <w:noWrap/>
          </w:tcPr>
          <w:p w14:paraId="32E75FD0" w14:textId="15A5DD10" w:rsidR="007C62CD" w:rsidRPr="00297C8F" w:rsidRDefault="005079D6" w:rsidP="007C62CD">
            <w:pPr>
              <w:jc w:val="right"/>
              <w:rPr>
                <w:i/>
              </w:rPr>
            </w:pPr>
            <w:r w:rsidRPr="00297C8F">
              <w:rPr>
                <w:i/>
              </w:rPr>
              <w:t>518,874.64</w:t>
            </w:r>
          </w:p>
        </w:tc>
        <w:tc>
          <w:tcPr>
            <w:tcW w:w="1716" w:type="dxa"/>
            <w:tcBorders>
              <w:top w:val="nil"/>
              <w:left w:val="nil"/>
              <w:bottom w:val="nil"/>
              <w:right w:val="nil"/>
            </w:tcBorders>
          </w:tcPr>
          <w:p w14:paraId="784650A5" w14:textId="3E311C59" w:rsidR="007C62CD" w:rsidRPr="00297C8F" w:rsidRDefault="007C62CD" w:rsidP="007C62CD">
            <w:pPr>
              <w:jc w:val="right"/>
              <w:rPr>
                <w:i/>
              </w:rPr>
            </w:pPr>
            <w:r w:rsidRPr="00297C8F">
              <w:rPr>
                <w:i/>
              </w:rPr>
              <w:t>471,704.22</w:t>
            </w:r>
          </w:p>
        </w:tc>
        <w:tc>
          <w:tcPr>
            <w:tcW w:w="1716" w:type="dxa"/>
            <w:tcBorders>
              <w:top w:val="nil"/>
              <w:left w:val="nil"/>
              <w:bottom w:val="nil"/>
              <w:right w:val="nil"/>
            </w:tcBorders>
            <w:shd w:val="clear" w:color="auto" w:fill="auto"/>
            <w:noWrap/>
          </w:tcPr>
          <w:p w14:paraId="32E75FD1" w14:textId="21391CF5" w:rsidR="007C62CD" w:rsidRPr="00297C8F" w:rsidRDefault="007C62CD" w:rsidP="007C62CD">
            <w:pPr>
              <w:jc w:val="right"/>
              <w:rPr>
                <w:i/>
              </w:rPr>
            </w:pPr>
          </w:p>
        </w:tc>
      </w:tr>
      <w:tr w:rsidR="007C62CD" w:rsidRPr="00297C8F" w14:paraId="32E75FD6" w14:textId="77777777" w:rsidTr="007C62CD">
        <w:trPr>
          <w:trHeight w:val="315"/>
        </w:trPr>
        <w:tc>
          <w:tcPr>
            <w:tcW w:w="4925" w:type="dxa"/>
            <w:tcBorders>
              <w:top w:val="nil"/>
              <w:left w:val="nil"/>
              <w:bottom w:val="nil"/>
              <w:right w:val="nil"/>
            </w:tcBorders>
            <w:shd w:val="clear" w:color="auto" w:fill="auto"/>
            <w:noWrap/>
            <w:vAlign w:val="center"/>
          </w:tcPr>
          <w:p w14:paraId="32E75FD3" w14:textId="77777777" w:rsidR="007C62CD" w:rsidRPr="00297C8F" w:rsidRDefault="007C62CD" w:rsidP="007C62CD">
            <w:pPr>
              <w:jc w:val="both"/>
              <w:rPr>
                <w:i/>
              </w:rPr>
            </w:pPr>
            <w:r w:rsidRPr="00297C8F">
              <w:rPr>
                <w:i/>
              </w:rPr>
              <w:t>Seguro Incendios y Líneas Aliadas Mobiliario</w:t>
            </w:r>
          </w:p>
        </w:tc>
        <w:tc>
          <w:tcPr>
            <w:tcW w:w="1753" w:type="dxa"/>
            <w:tcBorders>
              <w:top w:val="nil"/>
              <w:left w:val="nil"/>
              <w:bottom w:val="nil"/>
              <w:right w:val="nil"/>
            </w:tcBorders>
            <w:shd w:val="clear" w:color="auto" w:fill="auto"/>
            <w:noWrap/>
          </w:tcPr>
          <w:p w14:paraId="32E75FD4" w14:textId="2CB8F2D3" w:rsidR="007C62CD" w:rsidRPr="00297C8F" w:rsidRDefault="005079D6" w:rsidP="007C62CD">
            <w:pPr>
              <w:jc w:val="right"/>
              <w:rPr>
                <w:i/>
              </w:rPr>
            </w:pPr>
            <w:r w:rsidRPr="00297C8F">
              <w:rPr>
                <w:i/>
              </w:rPr>
              <w:t>148</w:t>
            </w:r>
            <w:r w:rsidR="00C84267" w:rsidRPr="00297C8F">
              <w:rPr>
                <w:i/>
              </w:rPr>
              <w:t>,</w:t>
            </w:r>
            <w:r w:rsidRPr="00297C8F">
              <w:rPr>
                <w:i/>
              </w:rPr>
              <w:t>549.91</w:t>
            </w:r>
          </w:p>
        </w:tc>
        <w:tc>
          <w:tcPr>
            <w:tcW w:w="1716" w:type="dxa"/>
            <w:tcBorders>
              <w:top w:val="nil"/>
              <w:left w:val="nil"/>
              <w:bottom w:val="nil"/>
              <w:right w:val="nil"/>
            </w:tcBorders>
          </w:tcPr>
          <w:p w14:paraId="4A4F3F54" w14:textId="7D1951C1" w:rsidR="007C62CD" w:rsidRPr="00297C8F" w:rsidRDefault="007C62CD" w:rsidP="007C62CD">
            <w:pPr>
              <w:jc w:val="right"/>
              <w:rPr>
                <w:i/>
              </w:rPr>
            </w:pPr>
            <w:r w:rsidRPr="00297C8F">
              <w:rPr>
                <w:i/>
              </w:rPr>
              <w:t>135,045.36</w:t>
            </w:r>
          </w:p>
        </w:tc>
        <w:tc>
          <w:tcPr>
            <w:tcW w:w="1716" w:type="dxa"/>
            <w:tcBorders>
              <w:top w:val="nil"/>
              <w:left w:val="nil"/>
              <w:bottom w:val="nil"/>
              <w:right w:val="nil"/>
            </w:tcBorders>
            <w:shd w:val="clear" w:color="auto" w:fill="auto"/>
            <w:noWrap/>
          </w:tcPr>
          <w:p w14:paraId="32E75FD5" w14:textId="2718AF35" w:rsidR="007C62CD" w:rsidRPr="00297C8F" w:rsidRDefault="007C62CD" w:rsidP="007C62CD">
            <w:pPr>
              <w:jc w:val="right"/>
              <w:rPr>
                <w:i/>
              </w:rPr>
            </w:pPr>
          </w:p>
        </w:tc>
      </w:tr>
      <w:tr w:rsidR="007C62CD" w:rsidRPr="00297C8F" w14:paraId="32E75FDA" w14:textId="77777777" w:rsidTr="007C62CD">
        <w:trPr>
          <w:trHeight w:val="315"/>
        </w:trPr>
        <w:tc>
          <w:tcPr>
            <w:tcW w:w="4925" w:type="dxa"/>
            <w:tcBorders>
              <w:top w:val="nil"/>
              <w:left w:val="nil"/>
              <w:bottom w:val="nil"/>
              <w:right w:val="nil"/>
            </w:tcBorders>
            <w:shd w:val="clear" w:color="auto" w:fill="auto"/>
            <w:noWrap/>
            <w:vAlign w:val="center"/>
          </w:tcPr>
          <w:p w14:paraId="32E75FD7" w14:textId="77777777" w:rsidR="007C62CD" w:rsidRPr="00297C8F" w:rsidRDefault="007C62CD" w:rsidP="007C62CD">
            <w:pPr>
              <w:jc w:val="both"/>
              <w:rPr>
                <w:i/>
              </w:rPr>
            </w:pPr>
            <w:r w:rsidRPr="00297C8F">
              <w:rPr>
                <w:i/>
              </w:rPr>
              <w:t>Seguro Equipos Electrónicos</w:t>
            </w:r>
          </w:p>
        </w:tc>
        <w:tc>
          <w:tcPr>
            <w:tcW w:w="1753" w:type="dxa"/>
            <w:tcBorders>
              <w:top w:val="nil"/>
              <w:left w:val="nil"/>
              <w:bottom w:val="nil"/>
              <w:right w:val="nil"/>
            </w:tcBorders>
            <w:shd w:val="clear" w:color="auto" w:fill="auto"/>
            <w:noWrap/>
          </w:tcPr>
          <w:p w14:paraId="32E75FD8" w14:textId="362257FF" w:rsidR="007C62CD" w:rsidRPr="00297C8F" w:rsidRDefault="00DF2FA7" w:rsidP="007C62CD">
            <w:pPr>
              <w:jc w:val="right"/>
              <w:rPr>
                <w:i/>
              </w:rPr>
            </w:pPr>
            <w:r w:rsidRPr="00297C8F">
              <w:rPr>
                <w:i/>
              </w:rPr>
              <w:t>158,954.52</w:t>
            </w:r>
          </w:p>
        </w:tc>
        <w:tc>
          <w:tcPr>
            <w:tcW w:w="1716" w:type="dxa"/>
            <w:tcBorders>
              <w:top w:val="nil"/>
              <w:left w:val="nil"/>
              <w:bottom w:val="nil"/>
              <w:right w:val="nil"/>
            </w:tcBorders>
          </w:tcPr>
          <w:p w14:paraId="2A7B1668" w14:textId="4F6247A2" w:rsidR="007C62CD" w:rsidRPr="00297C8F" w:rsidRDefault="007C62CD" w:rsidP="007C62CD">
            <w:pPr>
              <w:jc w:val="right"/>
              <w:rPr>
                <w:i/>
              </w:rPr>
            </w:pPr>
            <w:r w:rsidRPr="00297C8F">
              <w:rPr>
                <w:i/>
              </w:rPr>
              <w:t>144,504.11</w:t>
            </w:r>
          </w:p>
        </w:tc>
        <w:tc>
          <w:tcPr>
            <w:tcW w:w="1716" w:type="dxa"/>
            <w:tcBorders>
              <w:top w:val="nil"/>
              <w:left w:val="nil"/>
              <w:bottom w:val="nil"/>
              <w:right w:val="nil"/>
            </w:tcBorders>
            <w:shd w:val="clear" w:color="auto" w:fill="auto"/>
            <w:noWrap/>
          </w:tcPr>
          <w:p w14:paraId="32E75FD9" w14:textId="790653AD" w:rsidR="007C62CD" w:rsidRPr="00297C8F" w:rsidRDefault="007C62CD" w:rsidP="007C62CD">
            <w:pPr>
              <w:jc w:val="right"/>
              <w:rPr>
                <w:i/>
              </w:rPr>
            </w:pPr>
          </w:p>
        </w:tc>
      </w:tr>
      <w:tr w:rsidR="007C62CD" w:rsidRPr="00297C8F" w14:paraId="32E75FDE" w14:textId="77777777" w:rsidTr="007C62CD">
        <w:trPr>
          <w:trHeight w:val="315"/>
        </w:trPr>
        <w:tc>
          <w:tcPr>
            <w:tcW w:w="4925" w:type="dxa"/>
            <w:tcBorders>
              <w:top w:val="nil"/>
              <w:left w:val="nil"/>
              <w:bottom w:val="nil"/>
              <w:right w:val="nil"/>
            </w:tcBorders>
            <w:shd w:val="clear" w:color="auto" w:fill="auto"/>
            <w:noWrap/>
            <w:vAlign w:val="center"/>
          </w:tcPr>
          <w:p w14:paraId="32E75FDB" w14:textId="77777777" w:rsidR="007C62CD" w:rsidRPr="00297C8F" w:rsidRDefault="007C62CD" w:rsidP="007C62CD">
            <w:pPr>
              <w:jc w:val="both"/>
              <w:rPr>
                <w:i/>
              </w:rPr>
            </w:pPr>
            <w:r w:rsidRPr="00297C8F">
              <w:rPr>
                <w:i/>
              </w:rPr>
              <w:t>Seguro Cristales</w:t>
            </w:r>
          </w:p>
        </w:tc>
        <w:tc>
          <w:tcPr>
            <w:tcW w:w="1753" w:type="dxa"/>
            <w:tcBorders>
              <w:top w:val="nil"/>
              <w:left w:val="nil"/>
              <w:bottom w:val="nil"/>
              <w:right w:val="nil"/>
            </w:tcBorders>
            <w:shd w:val="clear" w:color="auto" w:fill="auto"/>
            <w:noWrap/>
          </w:tcPr>
          <w:p w14:paraId="32E75FDC" w14:textId="3BB830DF" w:rsidR="007C62CD" w:rsidRPr="00297C8F" w:rsidRDefault="00DF2FA7" w:rsidP="007C62CD">
            <w:pPr>
              <w:jc w:val="right"/>
              <w:rPr>
                <w:i/>
              </w:rPr>
            </w:pPr>
            <w:r w:rsidRPr="00297C8F">
              <w:rPr>
                <w:i/>
              </w:rPr>
              <w:t>15,790.49</w:t>
            </w:r>
          </w:p>
        </w:tc>
        <w:tc>
          <w:tcPr>
            <w:tcW w:w="1716" w:type="dxa"/>
            <w:tcBorders>
              <w:top w:val="nil"/>
              <w:left w:val="nil"/>
              <w:bottom w:val="nil"/>
              <w:right w:val="nil"/>
            </w:tcBorders>
          </w:tcPr>
          <w:p w14:paraId="1BCDDA1B" w14:textId="0862E8B2" w:rsidR="007C62CD" w:rsidRPr="00297C8F" w:rsidRDefault="007C62CD" w:rsidP="007C62CD">
            <w:pPr>
              <w:jc w:val="right"/>
              <w:rPr>
                <w:i/>
              </w:rPr>
            </w:pPr>
            <w:r w:rsidRPr="00297C8F">
              <w:rPr>
                <w:i/>
              </w:rPr>
              <w:t>14,355.00</w:t>
            </w:r>
          </w:p>
        </w:tc>
        <w:tc>
          <w:tcPr>
            <w:tcW w:w="1716" w:type="dxa"/>
            <w:tcBorders>
              <w:top w:val="nil"/>
              <w:left w:val="nil"/>
              <w:bottom w:val="nil"/>
              <w:right w:val="nil"/>
            </w:tcBorders>
            <w:shd w:val="clear" w:color="auto" w:fill="auto"/>
            <w:noWrap/>
          </w:tcPr>
          <w:p w14:paraId="32E75FDD" w14:textId="02C5025F" w:rsidR="007C62CD" w:rsidRPr="00297C8F" w:rsidRDefault="007C62CD" w:rsidP="007C62CD">
            <w:pPr>
              <w:jc w:val="right"/>
              <w:rPr>
                <w:i/>
              </w:rPr>
            </w:pPr>
          </w:p>
        </w:tc>
      </w:tr>
      <w:tr w:rsidR="007C62CD" w:rsidRPr="00297C8F" w14:paraId="32E75FE2" w14:textId="77777777" w:rsidTr="007C62CD">
        <w:trPr>
          <w:trHeight w:val="315"/>
        </w:trPr>
        <w:tc>
          <w:tcPr>
            <w:tcW w:w="4925" w:type="dxa"/>
            <w:tcBorders>
              <w:top w:val="nil"/>
              <w:left w:val="nil"/>
              <w:bottom w:val="nil"/>
              <w:right w:val="nil"/>
            </w:tcBorders>
            <w:shd w:val="clear" w:color="auto" w:fill="auto"/>
            <w:noWrap/>
            <w:vAlign w:val="center"/>
          </w:tcPr>
          <w:p w14:paraId="32E75FDF" w14:textId="77777777" w:rsidR="007C62CD" w:rsidRPr="00297C8F" w:rsidRDefault="007C62CD" w:rsidP="007C62CD">
            <w:pPr>
              <w:jc w:val="both"/>
              <w:rPr>
                <w:i/>
              </w:rPr>
            </w:pPr>
            <w:r w:rsidRPr="00297C8F">
              <w:rPr>
                <w:i/>
              </w:rPr>
              <w:t>Seguro Maquinaria</w:t>
            </w:r>
          </w:p>
        </w:tc>
        <w:tc>
          <w:tcPr>
            <w:tcW w:w="1753" w:type="dxa"/>
            <w:tcBorders>
              <w:top w:val="nil"/>
              <w:left w:val="nil"/>
              <w:bottom w:val="nil"/>
              <w:right w:val="nil"/>
            </w:tcBorders>
            <w:shd w:val="clear" w:color="auto" w:fill="auto"/>
            <w:noWrap/>
          </w:tcPr>
          <w:p w14:paraId="32E75FE0" w14:textId="4939201B" w:rsidR="007C62CD" w:rsidRPr="00297C8F" w:rsidRDefault="00DF2FA7" w:rsidP="007C62CD">
            <w:pPr>
              <w:jc w:val="right"/>
              <w:rPr>
                <w:i/>
              </w:rPr>
            </w:pPr>
            <w:r w:rsidRPr="00297C8F">
              <w:rPr>
                <w:i/>
              </w:rPr>
              <w:t>55,371.18</w:t>
            </w:r>
          </w:p>
        </w:tc>
        <w:tc>
          <w:tcPr>
            <w:tcW w:w="1716" w:type="dxa"/>
            <w:tcBorders>
              <w:top w:val="nil"/>
              <w:left w:val="nil"/>
              <w:bottom w:val="nil"/>
              <w:right w:val="nil"/>
            </w:tcBorders>
          </w:tcPr>
          <w:p w14:paraId="093F9DAE" w14:textId="5585BC25" w:rsidR="007C62CD" w:rsidRPr="00297C8F" w:rsidRDefault="007C62CD" w:rsidP="007C62CD">
            <w:pPr>
              <w:jc w:val="right"/>
              <w:rPr>
                <w:i/>
              </w:rPr>
            </w:pPr>
            <w:r w:rsidRPr="00297C8F">
              <w:rPr>
                <w:i/>
              </w:rPr>
              <w:t>50,337.45</w:t>
            </w:r>
          </w:p>
        </w:tc>
        <w:tc>
          <w:tcPr>
            <w:tcW w:w="1716" w:type="dxa"/>
            <w:tcBorders>
              <w:top w:val="nil"/>
              <w:left w:val="nil"/>
              <w:bottom w:val="nil"/>
              <w:right w:val="nil"/>
            </w:tcBorders>
            <w:shd w:val="clear" w:color="auto" w:fill="auto"/>
            <w:noWrap/>
          </w:tcPr>
          <w:p w14:paraId="32E75FE1" w14:textId="5AF8A6FD" w:rsidR="007C62CD" w:rsidRPr="00297C8F" w:rsidRDefault="007C62CD" w:rsidP="007C62CD">
            <w:pPr>
              <w:jc w:val="right"/>
              <w:rPr>
                <w:i/>
              </w:rPr>
            </w:pPr>
          </w:p>
        </w:tc>
      </w:tr>
      <w:tr w:rsidR="007C62CD" w:rsidRPr="00297C8F" w14:paraId="32E75FE6" w14:textId="77777777" w:rsidTr="007C62CD">
        <w:trPr>
          <w:trHeight w:val="330"/>
        </w:trPr>
        <w:tc>
          <w:tcPr>
            <w:tcW w:w="4925" w:type="dxa"/>
            <w:tcBorders>
              <w:top w:val="nil"/>
              <w:left w:val="nil"/>
              <w:bottom w:val="nil"/>
              <w:right w:val="nil"/>
            </w:tcBorders>
            <w:shd w:val="clear" w:color="auto" w:fill="auto"/>
            <w:noWrap/>
            <w:vAlign w:val="center"/>
          </w:tcPr>
          <w:p w14:paraId="32E75FE3" w14:textId="77777777" w:rsidR="007C62CD" w:rsidRPr="00297C8F" w:rsidRDefault="007C62CD" w:rsidP="007C62CD">
            <w:pPr>
              <w:jc w:val="both"/>
              <w:rPr>
                <w:i/>
              </w:rPr>
            </w:pPr>
            <w:r w:rsidRPr="00297C8F">
              <w:rPr>
                <w:i/>
              </w:rPr>
              <w:t>Responsabilidad Civil General</w:t>
            </w:r>
          </w:p>
        </w:tc>
        <w:tc>
          <w:tcPr>
            <w:tcW w:w="1753" w:type="dxa"/>
            <w:tcBorders>
              <w:top w:val="nil"/>
              <w:left w:val="nil"/>
              <w:bottom w:val="nil"/>
              <w:right w:val="nil"/>
            </w:tcBorders>
            <w:shd w:val="clear" w:color="auto" w:fill="auto"/>
            <w:noWrap/>
          </w:tcPr>
          <w:p w14:paraId="32E75FE4" w14:textId="688B21A3" w:rsidR="007C62CD" w:rsidRPr="00297C8F" w:rsidRDefault="006536E8" w:rsidP="007C62CD">
            <w:pPr>
              <w:jc w:val="right"/>
              <w:rPr>
                <w:i/>
              </w:rPr>
            </w:pPr>
            <w:r w:rsidRPr="00297C8F">
              <w:rPr>
                <w:i/>
              </w:rPr>
              <w:t>21,750.52</w:t>
            </w:r>
          </w:p>
        </w:tc>
        <w:tc>
          <w:tcPr>
            <w:tcW w:w="1716" w:type="dxa"/>
            <w:tcBorders>
              <w:top w:val="nil"/>
              <w:left w:val="nil"/>
              <w:bottom w:val="nil"/>
              <w:right w:val="nil"/>
            </w:tcBorders>
          </w:tcPr>
          <w:p w14:paraId="5057A802" w14:textId="068FBC39" w:rsidR="007C62CD" w:rsidRPr="00297C8F" w:rsidRDefault="007C62CD" w:rsidP="007C62CD">
            <w:pPr>
              <w:jc w:val="right"/>
              <w:rPr>
                <w:i/>
              </w:rPr>
            </w:pPr>
            <w:r w:rsidRPr="00297C8F">
              <w:rPr>
                <w:i/>
              </w:rPr>
              <w:t>98,663.40</w:t>
            </w:r>
          </w:p>
        </w:tc>
        <w:tc>
          <w:tcPr>
            <w:tcW w:w="1716" w:type="dxa"/>
            <w:tcBorders>
              <w:top w:val="nil"/>
              <w:left w:val="nil"/>
              <w:bottom w:val="nil"/>
              <w:right w:val="nil"/>
            </w:tcBorders>
            <w:shd w:val="clear" w:color="auto" w:fill="auto"/>
            <w:noWrap/>
            <w:vAlign w:val="center"/>
          </w:tcPr>
          <w:p w14:paraId="32E75FE5" w14:textId="102B25C3" w:rsidR="007C62CD" w:rsidRPr="00297C8F" w:rsidRDefault="007C62CD" w:rsidP="007C62CD">
            <w:pPr>
              <w:jc w:val="right"/>
              <w:rPr>
                <w:i/>
              </w:rPr>
            </w:pPr>
          </w:p>
        </w:tc>
      </w:tr>
      <w:tr w:rsidR="007C62CD" w:rsidRPr="00297C8F" w14:paraId="32E75FEA" w14:textId="77777777" w:rsidTr="007C62CD">
        <w:trPr>
          <w:trHeight w:val="330"/>
        </w:trPr>
        <w:tc>
          <w:tcPr>
            <w:tcW w:w="4925" w:type="dxa"/>
            <w:tcBorders>
              <w:top w:val="nil"/>
              <w:left w:val="nil"/>
              <w:bottom w:val="nil"/>
              <w:right w:val="nil"/>
            </w:tcBorders>
            <w:shd w:val="clear" w:color="auto" w:fill="auto"/>
            <w:noWrap/>
            <w:vAlign w:val="center"/>
          </w:tcPr>
          <w:p w14:paraId="32E75FE7" w14:textId="77777777" w:rsidR="007C62CD" w:rsidRPr="00297C8F" w:rsidRDefault="007C62CD" w:rsidP="007C62CD">
            <w:pPr>
              <w:jc w:val="both"/>
              <w:rPr>
                <w:i/>
              </w:rPr>
            </w:pPr>
            <w:r w:rsidRPr="00297C8F">
              <w:rPr>
                <w:i/>
              </w:rPr>
              <w:t>Responsabilidad Civil Exceso</w:t>
            </w:r>
          </w:p>
        </w:tc>
        <w:tc>
          <w:tcPr>
            <w:tcW w:w="1753" w:type="dxa"/>
            <w:tcBorders>
              <w:top w:val="nil"/>
              <w:left w:val="nil"/>
              <w:bottom w:val="nil"/>
              <w:right w:val="nil"/>
            </w:tcBorders>
            <w:shd w:val="clear" w:color="auto" w:fill="auto"/>
            <w:noWrap/>
          </w:tcPr>
          <w:p w14:paraId="32E75FE8" w14:textId="4B5BD82C" w:rsidR="007C62CD" w:rsidRPr="00297C8F" w:rsidRDefault="006536E8" w:rsidP="007C62CD">
            <w:pPr>
              <w:jc w:val="right"/>
              <w:rPr>
                <w:i/>
              </w:rPr>
            </w:pPr>
            <w:r w:rsidRPr="00297C8F">
              <w:rPr>
                <w:i/>
              </w:rPr>
              <w:t>21,749.99</w:t>
            </w:r>
          </w:p>
        </w:tc>
        <w:tc>
          <w:tcPr>
            <w:tcW w:w="1716" w:type="dxa"/>
            <w:tcBorders>
              <w:top w:val="nil"/>
              <w:left w:val="nil"/>
              <w:bottom w:val="nil"/>
              <w:right w:val="nil"/>
            </w:tcBorders>
          </w:tcPr>
          <w:p w14:paraId="3DE46605" w14:textId="533495F2" w:rsidR="007C62CD" w:rsidRPr="00297C8F" w:rsidRDefault="007C62CD" w:rsidP="007C62CD">
            <w:pPr>
              <w:jc w:val="right"/>
              <w:rPr>
                <w:i/>
              </w:rPr>
            </w:pPr>
            <w:r w:rsidRPr="00297C8F">
              <w:rPr>
                <w:i/>
              </w:rPr>
              <w:t>11,233.87</w:t>
            </w:r>
          </w:p>
        </w:tc>
        <w:tc>
          <w:tcPr>
            <w:tcW w:w="1716" w:type="dxa"/>
            <w:tcBorders>
              <w:top w:val="nil"/>
              <w:left w:val="nil"/>
              <w:bottom w:val="nil"/>
              <w:right w:val="nil"/>
            </w:tcBorders>
            <w:shd w:val="clear" w:color="auto" w:fill="auto"/>
            <w:noWrap/>
          </w:tcPr>
          <w:p w14:paraId="32E75FE9" w14:textId="625458E5" w:rsidR="007C62CD" w:rsidRPr="00297C8F" w:rsidRDefault="007C62CD" w:rsidP="007C62CD">
            <w:pPr>
              <w:jc w:val="right"/>
              <w:rPr>
                <w:i/>
              </w:rPr>
            </w:pPr>
          </w:p>
        </w:tc>
      </w:tr>
      <w:tr w:rsidR="007C62CD" w:rsidRPr="00297C8F" w14:paraId="32E75FEE" w14:textId="77777777" w:rsidTr="007C62CD">
        <w:trPr>
          <w:trHeight w:val="315"/>
        </w:trPr>
        <w:tc>
          <w:tcPr>
            <w:tcW w:w="4925" w:type="dxa"/>
            <w:tcBorders>
              <w:top w:val="nil"/>
              <w:left w:val="nil"/>
              <w:bottom w:val="nil"/>
              <w:right w:val="nil"/>
            </w:tcBorders>
            <w:shd w:val="clear" w:color="auto" w:fill="auto"/>
            <w:noWrap/>
            <w:vAlign w:val="center"/>
          </w:tcPr>
          <w:p w14:paraId="32E75FEB" w14:textId="77777777" w:rsidR="007C62CD" w:rsidRPr="00297C8F" w:rsidRDefault="007C62CD" w:rsidP="007C62CD">
            <w:pPr>
              <w:jc w:val="both"/>
              <w:rPr>
                <w:i/>
              </w:rPr>
            </w:pPr>
            <w:r w:rsidRPr="00297C8F">
              <w:rPr>
                <w:i/>
              </w:rPr>
              <w:t>Seguro Fidelidad 3D</w:t>
            </w:r>
          </w:p>
        </w:tc>
        <w:tc>
          <w:tcPr>
            <w:tcW w:w="1753" w:type="dxa"/>
            <w:tcBorders>
              <w:top w:val="nil"/>
              <w:left w:val="nil"/>
              <w:bottom w:val="nil"/>
              <w:right w:val="nil"/>
            </w:tcBorders>
            <w:shd w:val="clear" w:color="auto" w:fill="auto"/>
            <w:noWrap/>
          </w:tcPr>
          <w:p w14:paraId="32E75FEC" w14:textId="77777777" w:rsidR="007C62CD" w:rsidRPr="00297C8F" w:rsidRDefault="007C62CD" w:rsidP="007C62CD">
            <w:pPr>
              <w:jc w:val="right"/>
              <w:rPr>
                <w:i/>
                <w:u w:val="single"/>
              </w:rPr>
            </w:pPr>
            <w:r w:rsidRPr="00297C8F">
              <w:rPr>
                <w:i/>
                <w:u w:val="single"/>
              </w:rPr>
              <w:t xml:space="preserve">     21,749.99</w:t>
            </w:r>
          </w:p>
        </w:tc>
        <w:tc>
          <w:tcPr>
            <w:tcW w:w="1716" w:type="dxa"/>
            <w:tcBorders>
              <w:top w:val="nil"/>
              <w:left w:val="nil"/>
              <w:bottom w:val="nil"/>
              <w:right w:val="nil"/>
            </w:tcBorders>
          </w:tcPr>
          <w:p w14:paraId="4CB55434" w14:textId="23694A72" w:rsidR="007C62CD" w:rsidRPr="00297C8F" w:rsidRDefault="007C62CD" w:rsidP="007C62CD">
            <w:pPr>
              <w:jc w:val="right"/>
              <w:rPr>
                <w:i/>
                <w:u w:val="single"/>
              </w:rPr>
            </w:pPr>
            <w:r w:rsidRPr="00297C8F">
              <w:rPr>
                <w:i/>
                <w:u w:val="single"/>
              </w:rPr>
              <w:t xml:space="preserve">     21,749.99</w:t>
            </w:r>
          </w:p>
        </w:tc>
        <w:tc>
          <w:tcPr>
            <w:tcW w:w="1716" w:type="dxa"/>
            <w:tcBorders>
              <w:top w:val="nil"/>
              <w:left w:val="nil"/>
              <w:bottom w:val="nil"/>
              <w:right w:val="nil"/>
            </w:tcBorders>
            <w:shd w:val="clear" w:color="auto" w:fill="auto"/>
            <w:noWrap/>
          </w:tcPr>
          <w:p w14:paraId="32E75FED" w14:textId="58E325BA" w:rsidR="007C62CD" w:rsidRPr="00297C8F" w:rsidRDefault="007C62CD" w:rsidP="007C62CD">
            <w:pPr>
              <w:jc w:val="right"/>
              <w:rPr>
                <w:i/>
                <w:u w:val="single"/>
              </w:rPr>
            </w:pPr>
          </w:p>
        </w:tc>
      </w:tr>
      <w:tr w:rsidR="007C62CD" w:rsidRPr="00D358E1" w14:paraId="32E75FF2" w14:textId="77777777" w:rsidTr="007C62CD">
        <w:trPr>
          <w:trHeight w:val="315"/>
        </w:trPr>
        <w:tc>
          <w:tcPr>
            <w:tcW w:w="4925" w:type="dxa"/>
            <w:tcBorders>
              <w:top w:val="nil"/>
              <w:left w:val="nil"/>
              <w:bottom w:val="nil"/>
              <w:right w:val="nil"/>
            </w:tcBorders>
            <w:shd w:val="clear" w:color="auto" w:fill="auto"/>
            <w:noWrap/>
            <w:vAlign w:val="center"/>
          </w:tcPr>
          <w:p w14:paraId="32E75FEF" w14:textId="77777777" w:rsidR="007C62CD" w:rsidRPr="00297C8F" w:rsidRDefault="007C62CD" w:rsidP="007C62CD">
            <w:pPr>
              <w:jc w:val="both"/>
              <w:rPr>
                <w:b/>
                <w:i/>
              </w:rPr>
            </w:pPr>
            <w:proofErr w:type="gramStart"/>
            <w:r w:rsidRPr="00297C8F">
              <w:rPr>
                <w:b/>
                <w:i/>
              </w:rPr>
              <w:t>Total</w:t>
            </w:r>
            <w:proofErr w:type="gramEnd"/>
            <w:r w:rsidRPr="00297C8F">
              <w:rPr>
                <w:b/>
                <w:i/>
              </w:rPr>
              <w:t xml:space="preserve"> de Gastos Pagados por Adelantados</w:t>
            </w:r>
          </w:p>
        </w:tc>
        <w:tc>
          <w:tcPr>
            <w:tcW w:w="1753" w:type="dxa"/>
            <w:tcBorders>
              <w:top w:val="nil"/>
              <w:left w:val="nil"/>
              <w:bottom w:val="nil"/>
              <w:right w:val="nil"/>
            </w:tcBorders>
            <w:shd w:val="clear" w:color="auto" w:fill="auto"/>
            <w:noWrap/>
          </w:tcPr>
          <w:p w14:paraId="32E75FF0" w14:textId="112734EE" w:rsidR="007C62CD" w:rsidRPr="00297C8F" w:rsidRDefault="006B5104" w:rsidP="007C62CD">
            <w:pPr>
              <w:jc w:val="right"/>
              <w:rPr>
                <w:b/>
                <w:i/>
                <w:u w:val="double"/>
              </w:rPr>
            </w:pPr>
            <w:r w:rsidRPr="00297C8F">
              <w:rPr>
                <w:b/>
                <w:i/>
                <w:u w:val="double"/>
              </w:rPr>
              <w:t>1,412,57</w:t>
            </w:r>
            <w:r w:rsidR="00486E23">
              <w:rPr>
                <w:b/>
                <w:i/>
                <w:u w:val="double"/>
              </w:rPr>
              <w:t>6</w:t>
            </w:r>
            <w:r w:rsidRPr="00297C8F">
              <w:rPr>
                <w:b/>
                <w:i/>
                <w:u w:val="double"/>
              </w:rPr>
              <w:t>.09</w:t>
            </w:r>
          </w:p>
        </w:tc>
        <w:tc>
          <w:tcPr>
            <w:tcW w:w="1716" w:type="dxa"/>
            <w:tcBorders>
              <w:top w:val="nil"/>
              <w:left w:val="nil"/>
              <w:bottom w:val="nil"/>
              <w:right w:val="nil"/>
            </w:tcBorders>
          </w:tcPr>
          <w:p w14:paraId="7C41FD39" w14:textId="1959AF9D" w:rsidR="007C62CD" w:rsidRDefault="007C62CD" w:rsidP="007C62CD">
            <w:pPr>
              <w:jc w:val="right"/>
              <w:rPr>
                <w:b/>
                <w:i/>
                <w:u w:val="double"/>
              </w:rPr>
            </w:pPr>
            <w:r w:rsidRPr="00297C8F">
              <w:rPr>
                <w:b/>
                <w:i/>
                <w:u w:val="double"/>
              </w:rPr>
              <w:t>2,074,149.96</w:t>
            </w:r>
          </w:p>
        </w:tc>
        <w:tc>
          <w:tcPr>
            <w:tcW w:w="1716" w:type="dxa"/>
            <w:tcBorders>
              <w:top w:val="nil"/>
              <w:left w:val="nil"/>
              <w:bottom w:val="nil"/>
              <w:right w:val="nil"/>
            </w:tcBorders>
            <w:shd w:val="clear" w:color="auto" w:fill="auto"/>
            <w:noWrap/>
            <w:vAlign w:val="center"/>
          </w:tcPr>
          <w:p w14:paraId="32E75FF1" w14:textId="1D2B36ED" w:rsidR="007C62CD" w:rsidRPr="00D358E1" w:rsidRDefault="007C62CD" w:rsidP="007C62CD">
            <w:pPr>
              <w:jc w:val="right"/>
              <w:rPr>
                <w:b/>
                <w:i/>
                <w:u w:val="double"/>
              </w:rPr>
            </w:pPr>
          </w:p>
        </w:tc>
      </w:tr>
    </w:tbl>
    <w:p w14:paraId="32E75FF3" w14:textId="77777777" w:rsidR="00757DA1" w:rsidRPr="00123FE7" w:rsidRDefault="00757DA1" w:rsidP="00757DA1">
      <w:pPr>
        <w:spacing w:line="360" w:lineRule="auto"/>
        <w:jc w:val="both"/>
        <w:rPr>
          <w:b/>
          <w:i/>
          <w:sz w:val="18"/>
        </w:rPr>
      </w:pPr>
    </w:p>
    <w:p w14:paraId="71728791" w14:textId="77777777" w:rsidR="001B413E" w:rsidRDefault="001B413E" w:rsidP="002B0864">
      <w:pPr>
        <w:spacing w:line="360" w:lineRule="auto"/>
        <w:jc w:val="both"/>
        <w:rPr>
          <w:b/>
          <w:i/>
          <w:sz w:val="28"/>
        </w:rPr>
      </w:pPr>
    </w:p>
    <w:p w14:paraId="757577B6" w14:textId="77777777" w:rsidR="001B413E" w:rsidRDefault="001B413E" w:rsidP="002B0864">
      <w:pPr>
        <w:spacing w:line="360" w:lineRule="auto"/>
        <w:jc w:val="both"/>
        <w:rPr>
          <w:b/>
          <w:i/>
          <w:sz w:val="28"/>
        </w:rPr>
      </w:pPr>
    </w:p>
    <w:p w14:paraId="2B067D10" w14:textId="77777777" w:rsidR="001B413E" w:rsidRDefault="001B413E" w:rsidP="002B0864">
      <w:pPr>
        <w:spacing w:line="360" w:lineRule="auto"/>
        <w:jc w:val="both"/>
        <w:rPr>
          <w:b/>
          <w:i/>
          <w:sz w:val="28"/>
        </w:rPr>
      </w:pPr>
    </w:p>
    <w:p w14:paraId="04E728D3" w14:textId="77777777" w:rsidR="001B413E" w:rsidRDefault="001B413E" w:rsidP="002B0864">
      <w:pPr>
        <w:spacing w:line="360" w:lineRule="auto"/>
        <w:jc w:val="both"/>
        <w:rPr>
          <w:b/>
          <w:i/>
          <w:sz w:val="28"/>
        </w:rPr>
      </w:pPr>
    </w:p>
    <w:p w14:paraId="6621EF65" w14:textId="77777777" w:rsidR="001B413E" w:rsidRDefault="001B413E" w:rsidP="002B0864">
      <w:pPr>
        <w:spacing w:line="360" w:lineRule="auto"/>
        <w:jc w:val="both"/>
        <w:rPr>
          <w:b/>
          <w:i/>
          <w:sz w:val="28"/>
        </w:rPr>
      </w:pPr>
    </w:p>
    <w:p w14:paraId="2CE4EDE5" w14:textId="77777777" w:rsidR="001B413E" w:rsidRDefault="001B413E" w:rsidP="002B0864">
      <w:pPr>
        <w:spacing w:line="360" w:lineRule="auto"/>
        <w:jc w:val="both"/>
        <w:rPr>
          <w:b/>
          <w:i/>
          <w:sz w:val="28"/>
        </w:rPr>
      </w:pPr>
    </w:p>
    <w:p w14:paraId="32E75FF4" w14:textId="3EE9DD8B" w:rsidR="002B0864" w:rsidRPr="002E6615" w:rsidRDefault="002B0864" w:rsidP="002B0864">
      <w:pPr>
        <w:spacing w:line="360" w:lineRule="auto"/>
        <w:jc w:val="both"/>
        <w:rPr>
          <w:b/>
          <w:i/>
          <w:sz w:val="28"/>
        </w:rPr>
      </w:pPr>
      <w:r w:rsidRPr="002E6615">
        <w:rPr>
          <w:b/>
          <w:i/>
          <w:sz w:val="28"/>
        </w:rPr>
        <w:lastRenderedPageBreak/>
        <w:t xml:space="preserve">Nota </w:t>
      </w:r>
      <w:r>
        <w:rPr>
          <w:b/>
          <w:i/>
          <w:sz w:val="28"/>
        </w:rPr>
        <w:t>11: Propiedad, Planta y Equipos Netos</w:t>
      </w:r>
    </w:p>
    <w:p w14:paraId="32E75FF5" w14:textId="6343A9B5" w:rsidR="003F2144" w:rsidRDefault="00655361" w:rsidP="00757DA1">
      <w:pPr>
        <w:spacing w:line="360" w:lineRule="auto"/>
        <w:jc w:val="both"/>
        <w:rPr>
          <w:b/>
          <w:i/>
          <w:sz w:val="28"/>
        </w:rPr>
      </w:pPr>
      <w:r w:rsidRPr="00655361">
        <w:rPr>
          <w:noProof/>
        </w:rPr>
        <w:drawing>
          <wp:inline distT="0" distB="0" distL="0" distR="0" wp14:anchorId="45205500" wp14:editId="02F29F29">
            <wp:extent cx="5612130" cy="219265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2192655"/>
                    </a:xfrm>
                    <a:prstGeom prst="rect">
                      <a:avLst/>
                    </a:prstGeom>
                    <a:noFill/>
                    <a:ln>
                      <a:noFill/>
                    </a:ln>
                  </pic:spPr>
                </pic:pic>
              </a:graphicData>
            </a:graphic>
          </wp:inline>
        </w:drawing>
      </w:r>
    </w:p>
    <w:p w14:paraId="32E75FF6" w14:textId="77777777" w:rsidR="0047648D" w:rsidRPr="0047648D" w:rsidRDefault="0047648D" w:rsidP="00757DA1">
      <w:pPr>
        <w:spacing w:line="360" w:lineRule="auto"/>
        <w:jc w:val="both"/>
        <w:rPr>
          <w:b/>
          <w:i/>
          <w:sz w:val="8"/>
        </w:rPr>
      </w:pPr>
    </w:p>
    <w:p w14:paraId="32E75FF9" w14:textId="77777777" w:rsidR="00F8070C" w:rsidRPr="00F8070C" w:rsidRDefault="00F8070C" w:rsidP="00757DA1">
      <w:pPr>
        <w:spacing w:line="360" w:lineRule="auto"/>
        <w:jc w:val="both"/>
        <w:rPr>
          <w:b/>
          <w:i/>
          <w:sz w:val="16"/>
        </w:rPr>
      </w:pPr>
    </w:p>
    <w:p w14:paraId="32E75FFA" w14:textId="77777777" w:rsidR="002B0864" w:rsidRDefault="002B0864" w:rsidP="00757DA1">
      <w:pPr>
        <w:spacing w:line="360" w:lineRule="auto"/>
        <w:jc w:val="both"/>
        <w:rPr>
          <w:b/>
          <w:i/>
          <w:sz w:val="28"/>
        </w:rPr>
      </w:pPr>
      <w:r w:rsidRPr="002B0864">
        <w:rPr>
          <w:b/>
          <w:i/>
          <w:sz w:val="28"/>
        </w:rPr>
        <w:t>Nota 12: Activos Intangibles</w:t>
      </w:r>
    </w:p>
    <w:p w14:paraId="32E75FFB" w14:textId="748A6C90" w:rsidR="00757DA1" w:rsidRPr="000D1E79" w:rsidRDefault="00757DA1" w:rsidP="00757DA1">
      <w:pPr>
        <w:spacing w:line="360" w:lineRule="auto"/>
        <w:jc w:val="both"/>
        <w:rPr>
          <w:i/>
        </w:rPr>
      </w:pPr>
      <w:r w:rsidRPr="000033C3">
        <w:rPr>
          <w:bCs/>
          <w:i/>
          <w:lang w:eastAsia="es-ES"/>
        </w:rPr>
        <w:t xml:space="preserve">Al </w:t>
      </w:r>
      <w:r w:rsidRPr="00D04DC6">
        <w:rPr>
          <w:bCs/>
          <w:i/>
          <w:lang w:eastAsia="es-ES"/>
        </w:rPr>
        <w:t xml:space="preserve">31 de Diciembre </w:t>
      </w:r>
      <w:r>
        <w:rPr>
          <w:rStyle w:val="CarCar"/>
          <w:rFonts w:ascii="Times New Roman" w:hAnsi="Times New Roman" w:cs="Times New Roman"/>
          <w:b w:val="0"/>
          <w:i/>
          <w:sz w:val="24"/>
        </w:rPr>
        <w:t>del</w:t>
      </w:r>
      <w:r w:rsidRPr="002E6615">
        <w:rPr>
          <w:rStyle w:val="CarCar"/>
          <w:rFonts w:ascii="Times New Roman" w:hAnsi="Times New Roman" w:cs="Times New Roman"/>
          <w:b w:val="0"/>
          <w:i/>
          <w:sz w:val="24"/>
        </w:rPr>
        <w:t xml:space="preserve"> </w:t>
      </w:r>
      <w:proofErr w:type="gramStart"/>
      <w:r w:rsidR="000B5F74" w:rsidRPr="00BD5449">
        <w:rPr>
          <w:rStyle w:val="CarCar"/>
          <w:rFonts w:ascii="Times New Roman" w:hAnsi="Times New Roman" w:cs="Times New Roman"/>
          <w:b w:val="0"/>
          <w:i/>
          <w:sz w:val="24"/>
        </w:rPr>
        <w:t>202</w:t>
      </w:r>
      <w:r w:rsidR="000B5F74">
        <w:rPr>
          <w:rStyle w:val="CarCar"/>
          <w:rFonts w:ascii="Times New Roman" w:hAnsi="Times New Roman" w:cs="Times New Roman"/>
          <w:b w:val="0"/>
          <w:i/>
          <w:sz w:val="24"/>
        </w:rPr>
        <w:t>2</w:t>
      </w:r>
      <w:r w:rsidR="000B5F74" w:rsidRPr="00BD5449">
        <w:rPr>
          <w:rStyle w:val="CarCar"/>
          <w:rFonts w:ascii="Times New Roman" w:hAnsi="Times New Roman" w:cs="Times New Roman"/>
          <w:b w:val="0"/>
          <w:i/>
          <w:sz w:val="24"/>
        </w:rPr>
        <w:t xml:space="preserve">  y</w:t>
      </w:r>
      <w:proofErr w:type="gramEnd"/>
      <w:r w:rsidR="000B5F74" w:rsidRPr="00BD5449">
        <w:rPr>
          <w:rStyle w:val="CarCar"/>
          <w:rFonts w:ascii="Times New Roman" w:hAnsi="Times New Roman" w:cs="Times New Roman"/>
          <w:b w:val="0"/>
          <w:i/>
          <w:sz w:val="24"/>
        </w:rPr>
        <w:t xml:space="preserve">  20</w:t>
      </w:r>
      <w:r w:rsidR="000B5F74">
        <w:rPr>
          <w:rStyle w:val="CarCar"/>
          <w:rFonts w:ascii="Times New Roman" w:hAnsi="Times New Roman" w:cs="Times New Roman"/>
          <w:b w:val="0"/>
          <w:i/>
          <w:sz w:val="24"/>
        </w:rPr>
        <w:t>21</w:t>
      </w:r>
      <w:r w:rsidRPr="00C36E9D">
        <w:rPr>
          <w:rStyle w:val="CarCar"/>
          <w:rFonts w:ascii="Times New Roman" w:hAnsi="Times New Roman" w:cs="Times New Roman"/>
          <w:b w:val="0"/>
          <w:i/>
          <w:sz w:val="24"/>
        </w:rPr>
        <w:t xml:space="preserve">, </w:t>
      </w:r>
      <w:r w:rsidRPr="00C36E9D">
        <w:rPr>
          <w:i/>
        </w:rPr>
        <w:t xml:space="preserve">esta partida presenta balance de </w:t>
      </w:r>
      <w:r w:rsidRPr="003E5DBC">
        <w:rPr>
          <w:i/>
        </w:rPr>
        <w:t>RD$</w:t>
      </w:r>
      <w:r w:rsidR="00F15512" w:rsidRPr="00F15512">
        <w:rPr>
          <w:i/>
          <w:color w:val="000000"/>
        </w:rPr>
        <w:t>39,233,391.79</w:t>
      </w:r>
      <w:r w:rsidR="00F15512">
        <w:rPr>
          <w:i/>
          <w:color w:val="000000"/>
        </w:rPr>
        <w:t xml:space="preserve"> </w:t>
      </w:r>
      <w:r w:rsidR="00267BD0">
        <w:rPr>
          <w:i/>
        </w:rPr>
        <w:t>en ambos períodos</w:t>
      </w:r>
      <w:r w:rsidRPr="003E5DBC">
        <w:rPr>
          <w:i/>
        </w:rPr>
        <w:t>, estos valores</w:t>
      </w:r>
      <w:r w:rsidRPr="00C36E9D">
        <w:rPr>
          <w:i/>
        </w:rPr>
        <w:t xml:space="preserve"> representan el costo de las Licencias de Cómputos, según el siguiente detalle:</w:t>
      </w:r>
    </w:p>
    <w:p w14:paraId="32E75FFD" w14:textId="4D65B751" w:rsidR="00757DA1" w:rsidRPr="00C36E9D" w:rsidRDefault="00757DA1" w:rsidP="00757DA1">
      <w:pPr>
        <w:spacing w:line="360" w:lineRule="auto"/>
        <w:rPr>
          <w:b/>
          <w:i/>
        </w:rPr>
      </w:pPr>
      <w:r w:rsidRPr="00C36E9D">
        <w:rPr>
          <w:b/>
          <w:i/>
        </w:rPr>
        <w:t>Descripción</w:t>
      </w:r>
      <w:r w:rsidRPr="00C36E9D">
        <w:rPr>
          <w:b/>
          <w:i/>
        </w:rPr>
        <w:tab/>
      </w:r>
      <w:r w:rsidRPr="00C36E9D">
        <w:rPr>
          <w:b/>
          <w:i/>
        </w:rPr>
        <w:tab/>
      </w:r>
      <w:r w:rsidRPr="00C36E9D">
        <w:rPr>
          <w:b/>
          <w:i/>
        </w:rPr>
        <w:tab/>
      </w:r>
      <w:r w:rsidRPr="00C36E9D">
        <w:rPr>
          <w:b/>
          <w:i/>
        </w:rPr>
        <w:tab/>
      </w:r>
      <w:r w:rsidRPr="00C36E9D">
        <w:rPr>
          <w:b/>
          <w:i/>
        </w:rPr>
        <w:tab/>
      </w:r>
      <w:r w:rsidRPr="00C36E9D">
        <w:rPr>
          <w:b/>
          <w:i/>
        </w:rPr>
        <w:tab/>
      </w:r>
      <w:r>
        <w:rPr>
          <w:b/>
          <w:i/>
        </w:rPr>
        <w:tab/>
      </w:r>
      <w:r w:rsidR="003E0715">
        <w:rPr>
          <w:b/>
          <w:i/>
        </w:rPr>
        <w:t>2022</w:t>
      </w:r>
      <w:r w:rsidR="003E0715">
        <w:rPr>
          <w:b/>
          <w:i/>
        </w:rPr>
        <w:tab/>
      </w:r>
      <w:r w:rsidR="003E0715">
        <w:rPr>
          <w:b/>
          <w:i/>
        </w:rPr>
        <w:tab/>
        <w:t xml:space="preserve">    2021</w:t>
      </w:r>
    </w:p>
    <w:tbl>
      <w:tblPr>
        <w:tblW w:w="8422" w:type="dxa"/>
        <w:tblInd w:w="93" w:type="dxa"/>
        <w:tblLook w:val="04A0" w:firstRow="1" w:lastRow="0" w:firstColumn="1" w:lastColumn="0" w:noHBand="0" w:noVBand="1"/>
      </w:tblPr>
      <w:tblGrid>
        <w:gridCol w:w="4900"/>
        <w:gridCol w:w="1810"/>
        <w:gridCol w:w="1712"/>
      </w:tblGrid>
      <w:tr w:rsidR="009107DA" w:rsidRPr="00B72F02" w14:paraId="32E76001" w14:textId="77777777" w:rsidTr="007A10AF">
        <w:trPr>
          <w:trHeight w:val="349"/>
        </w:trPr>
        <w:tc>
          <w:tcPr>
            <w:tcW w:w="4900" w:type="dxa"/>
            <w:tcBorders>
              <w:top w:val="nil"/>
              <w:left w:val="nil"/>
              <w:bottom w:val="nil"/>
              <w:right w:val="nil"/>
            </w:tcBorders>
            <w:shd w:val="clear" w:color="auto" w:fill="auto"/>
            <w:noWrap/>
            <w:vAlign w:val="center"/>
          </w:tcPr>
          <w:p w14:paraId="32E75FFE" w14:textId="77777777" w:rsidR="009107DA" w:rsidRPr="00B72F02" w:rsidRDefault="009107DA" w:rsidP="009107DA">
            <w:pPr>
              <w:jc w:val="both"/>
              <w:rPr>
                <w:i/>
              </w:rPr>
            </w:pPr>
            <w:r w:rsidRPr="00B72F02">
              <w:rPr>
                <w:i/>
              </w:rPr>
              <w:t>Programas de Computación</w:t>
            </w:r>
            <w:r>
              <w:rPr>
                <w:i/>
              </w:rPr>
              <w:t xml:space="preserve"> - Inicial</w:t>
            </w:r>
          </w:p>
        </w:tc>
        <w:tc>
          <w:tcPr>
            <w:tcW w:w="1810" w:type="dxa"/>
            <w:tcBorders>
              <w:top w:val="nil"/>
              <w:left w:val="nil"/>
              <w:bottom w:val="nil"/>
              <w:right w:val="nil"/>
            </w:tcBorders>
            <w:shd w:val="clear" w:color="auto" w:fill="auto"/>
            <w:noWrap/>
            <w:vAlign w:val="center"/>
          </w:tcPr>
          <w:p w14:paraId="32E75FFF" w14:textId="283348FB" w:rsidR="009107DA" w:rsidRPr="00B72F02" w:rsidRDefault="00DC03F9" w:rsidP="009107DA">
            <w:pPr>
              <w:jc w:val="right"/>
              <w:rPr>
                <w:i/>
              </w:rPr>
            </w:pPr>
            <w:r>
              <w:rPr>
                <w:i/>
              </w:rPr>
              <w:t>0.00</w:t>
            </w:r>
          </w:p>
        </w:tc>
        <w:tc>
          <w:tcPr>
            <w:tcW w:w="1712" w:type="dxa"/>
            <w:tcBorders>
              <w:top w:val="nil"/>
              <w:left w:val="nil"/>
              <w:bottom w:val="nil"/>
              <w:right w:val="nil"/>
            </w:tcBorders>
            <w:shd w:val="clear" w:color="auto" w:fill="auto"/>
            <w:noWrap/>
            <w:vAlign w:val="center"/>
          </w:tcPr>
          <w:p w14:paraId="32E76000" w14:textId="2503CE0E" w:rsidR="009107DA" w:rsidRPr="00B62757" w:rsidRDefault="009107DA" w:rsidP="009107DA">
            <w:pPr>
              <w:jc w:val="right"/>
              <w:rPr>
                <w:i/>
              </w:rPr>
            </w:pPr>
            <w:r w:rsidRPr="00B62757">
              <w:rPr>
                <w:i/>
              </w:rPr>
              <w:t>389,975.40</w:t>
            </w:r>
          </w:p>
        </w:tc>
      </w:tr>
      <w:tr w:rsidR="009107DA" w:rsidRPr="00C36E9D" w14:paraId="32E76005" w14:textId="77777777" w:rsidTr="007A10AF">
        <w:trPr>
          <w:trHeight w:val="349"/>
        </w:trPr>
        <w:tc>
          <w:tcPr>
            <w:tcW w:w="4900" w:type="dxa"/>
            <w:tcBorders>
              <w:top w:val="nil"/>
              <w:left w:val="nil"/>
              <w:bottom w:val="nil"/>
              <w:right w:val="nil"/>
            </w:tcBorders>
            <w:shd w:val="clear" w:color="auto" w:fill="auto"/>
            <w:noWrap/>
            <w:vAlign w:val="center"/>
            <w:hideMark/>
          </w:tcPr>
          <w:p w14:paraId="32E76002" w14:textId="77777777" w:rsidR="009107DA" w:rsidRPr="00B72F02" w:rsidRDefault="009107DA" w:rsidP="009107DA">
            <w:pPr>
              <w:spacing w:line="276" w:lineRule="auto"/>
              <w:jc w:val="both"/>
              <w:rPr>
                <w:i/>
              </w:rPr>
            </w:pPr>
            <w:r w:rsidRPr="00B72F02">
              <w:rPr>
                <w:i/>
              </w:rPr>
              <w:t>Licencias de Cómputos</w:t>
            </w:r>
            <w:r>
              <w:rPr>
                <w:i/>
              </w:rPr>
              <w:t xml:space="preserve"> - Inicial</w:t>
            </w:r>
          </w:p>
        </w:tc>
        <w:tc>
          <w:tcPr>
            <w:tcW w:w="1810" w:type="dxa"/>
            <w:tcBorders>
              <w:top w:val="nil"/>
              <w:left w:val="nil"/>
              <w:bottom w:val="nil"/>
              <w:right w:val="nil"/>
            </w:tcBorders>
            <w:shd w:val="clear" w:color="auto" w:fill="auto"/>
            <w:noWrap/>
            <w:vAlign w:val="center"/>
            <w:hideMark/>
          </w:tcPr>
          <w:p w14:paraId="32E76003" w14:textId="21F89DAE" w:rsidR="009107DA" w:rsidRPr="00B72F02" w:rsidRDefault="00FF3361" w:rsidP="009107DA">
            <w:pPr>
              <w:spacing w:line="276" w:lineRule="auto"/>
              <w:jc w:val="right"/>
              <w:rPr>
                <w:i/>
                <w:u w:val="single"/>
              </w:rPr>
            </w:pPr>
            <w:r>
              <w:rPr>
                <w:i/>
                <w:u w:val="single"/>
              </w:rPr>
              <w:t>39,233,391.79</w:t>
            </w:r>
          </w:p>
        </w:tc>
        <w:tc>
          <w:tcPr>
            <w:tcW w:w="1712" w:type="dxa"/>
            <w:tcBorders>
              <w:top w:val="nil"/>
              <w:left w:val="nil"/>
              <w:bottom w:val="nil"/>
              <w:right w:val="nil"/>
            </w:tcBorders>
            <w:shd w:val="clear" w:color="auto" w:fill="auto"/>
            <w:noWrap/>
            <w:vAlign w:val="center"/>
            <w:hideMark/>
          </w:tcPr>
          <w:p w14:paraId="32E76004" w14:textId="381E8376" w:rsidR="009107DA" w:rsidRPr="00B62757" w:rsidRDefault="009107DA" w:rsidP="009107DA">
            <w:pPr>
              <w:spacing w:line="276" w:lineRule="auto"/>
              <w:jc w:val="right"/>
              <w:rPr>
                <w:i/>
                <w:u w:val="single"/>
              </w:rPr>
            </w:pPr>
            <w:r w:rsidRPr="00B62757">
              <w:rPr>
                <w:i/>
                <w:u w:val="single"/>
              </w:rPr>
              <w:t>40,909,251.76</w:t>
            </w:r>
          </w:p>
        </w:tc>
      </w:tr>
      <w:tr w:rsidR="009107DA" w:rsidRPr="00C36E9D" w14:paraId="32E76009" w14:textId="77777777" w:rsidTr="007A10AF">
        <w:trPr>
          <w:trHeight w:val="303"/>
        </w:trPr>
        <w:tc>
          <w:tcPr>
            <w:tcW w:w="4900" w:type="dxa"/>
            <w:tcBorders>
              <w:top w:val="nil"/>
              <w:left w:val="nil"/>
              <w:bottom w:val="nil"/>
              <w:right w:val="nil"/>
            </w:tcBorders>
            <w:shd w:val="clear" w:color="auto" w:fill="auto"/>
            <w:noWrap/>
            <w:vAlign w:val="center"/>
            <w:hideMark/>
          </w:tcPr>
          <w:p w14:paraId="32E76006" w14:textId="77777777" w:rsidR="009107DA" w:rsidRPr="00C36E9D" w:rsidRDefault="009107DA" w:rsidP="009107DA">
            <w:pPr>
              <w:spacing w:line="276" w:lineRule="auto"/>
              <w:jc w:val="both"/>
              <w:rPr>
                <w:b/>
                <w:bCs/>
                <w:i/>
              </w:rPr>
            </w:pPr>
            <w:r w:rsidRPr="00C36E9D">
              <w:rPr>
                <w:b/>
                <w:bCs/>
                <w:i/>
              </w:rPr>
              <w:t>Total Bienes Intangibles</w:t>
            </w:r>
            <w:r>
              <w:rPr>
                <w:b/>
                <w:bCs/>
                <w:i/>
              </w:rPr>
              <w:t xml:space="preserve"> - Inicial</w:t>
            </w:r>
          </w:p>
        </w:tc>
        <w:tc>
          <w:tcPr>
            <w:tcW w:w="1810" w:type="dxa"/>
            <w:tcBorders>
              <w:top w:val="nil"/>
              <w:left w:val="nil"/>
              <w:right w:val="nil"/>
            </w:tcBorders>
            <w:shd w:val="clear" w:color="auto" w:fill="auto"/>
            <w:noWrap/>
            <w:vAlign w:val="center"/>
            <w:hideMark/>
          </w:tcPr>
          <w:p w14:paraId="32E76007" w14:textId="57821BA2" w:rsidR="009107DA" w:rsidRPr="00792E3C" w:rsidRDefault="00DC03F9" w:rsidP="009107DA">
            <w:pPr>
              <w:spacing w:line="276" w:lineRule="auto"/>
              <w:jc w:val="right"/>
              <w:rPr>
                <w:b/>
                <w:i/>
                <w:highlight w:val="yellow"/>
              </w:rPr>
            </w:pPr>
            <w:r>
              <w:rPr>
                <w:b/>
                <w:i/>
              </w:rPr>
              <w:t>39,233,391.79</w:t>
            </w:r>
          </w:p>
        </w:tc>
        <w:tc>
          <w:tcPr>
            <w:tcW w:w="1712" w:type="dxa"/>
            <w:tcBorders>
              <w:top w:val="nil"/>
              <w:left w:val="nil"/>
              <w:right w:val="nil"/>
            </w:tcBorders>
            <w:shd w:val="clear" w:color="auto" w:fill="auto"/>
            <w:noWrap/>
            <w:vAlign w:val="center"/>
            <w:hideMark/>
          </w:tcPr>
          <w:p w14:paraId="32E76008" w14:textId="4F77874F" w:rsidR="009107DA" w:rsidRPr="00B62757" w:rsidRDefault="009107DA" w:rsidP="009107DA">
            <w:pPr>
              <w:spacing w:line="276" w:lineRule="auto"/>
              <w:jc w:val="right"/>
              <w:rPr>
                <w:b/>
                <w:i/>
              </w:rPr>
            </w:pPr>
            <w:r w:rsidRPr="00B62757">
              <w:rPr>
                <w:b/>
                <w:i/>
              </w:rPr>
              <w:t>41,299,227.16</w:t>
            </w:r>
          </w:p>
        </w:tc>
      </w:tr>
      <w:tr w:rsidR="009107DA" w:rsidRPr="00C36E9D" w14:paraId="32E7600D" w14:textId="77777777" w:rsidTr="007A10AF">
        <w:trPr>
          <w:trHeight w:val="303"/>
        </w:trPr>
        <w:tc>
          <w:tcPr>
            <w:tcW w:w="4900" w:type="dxa"/>
            <w:tcBorders>
              <w:top w:val="nil"/>
              <w:left w:val="nil"/>
              <w:bottom w:val="nil"/>
              <w:right w:val="nil"/>
            </w:tcBorders>
            <w:shd w:val="clear" w:color="auto" w:fill="auto"/>
            <w:noWrap/>
            <w:vAlign w:val="center"/>
          </w:tcPr>
          <w:p w14:paraId="32E7600A" w14:textId="77777777" w:rsidR="009107DA" w:rsidRPr="00C36E9D" w:rsidRDefault="009107DA" w:rsidP="009107DA">
            <w:pPr>
              <w:jc w:val="both"/>
              <w:rPr>
                <w:b/>
                <w:bCs/>
                <w:i/>
              </w:rPr>
            </w:pPr>
            <w:r>
              <w:rPr>
                <w:b/>
                <w:bCs/>
                <w:i/>
              </w:rPr>
              <w:t>Mas</w:t>
            </w:r>
          </w:p>
        </w:tc>
        <w:tc>
          <w:tcPr>
            <w:tcW w:w="1810" w:type="dxa"/>
            <w:tcBorders>
              <w:top w:val="nil"/>
              <w:left w:val="nil"/>
              <w:bottom w:val="nil"/>
              <w:right w:val="nil"/>
            </w:tcBorders>
            <w:shd w:val="clear" w:color="auto" w:fill="auto"/>
            <w:noWrap/>
            <w:vAlign w:val="center"/>
          </w:tcPr>
          <w:p w14:paraId="32E7600B" w14:textId="77777777" w:rsidR="009107DA" w:rsidRPr="00AB2FDC" w:rsidRDefault="009107DA" w:rsidP="009107DA">
            <w:pPr>
              <w:jc w:val="right"/>
              <w:rPr>
                <w:b/>
                <w:bCs/>
                <w:i/>
              </w:rPr>
            </w:pPr>
          </w:p>
        </w:tc>
        <w:tc>
          <w:tcPr>
            <w:tcW w:w="1712" w:type="dxa"/>
            <w:tcBorders>
              <w:top w:val="nil"/>
              <w:left w:val="nil"/>
              <w:bottom w:val="nil"/>
              <w:right w:val="nil"/>
            </w:tcBorders>
            <w:shd w:val="clear" w:color="auto" w:fill="auto"/>
            <w:noWrap/>
            <w:vAlign w:val="center"/>
          </w:tcPr>
          <w:p w14:paraId="32E7600C" w14:textId="77777777" w:rsidR="009107DA" w:rsidRPr="00B62757" w:rsidRDefault="009107DA" w:rsidP="009107DA">
            <w:pPr>
              <w:jc w:val="right"/>
              <w:rPr>
                <w:b/>
                <w:bCs/>
                <w:i/>
              </w:rPr>
            </w:pPr>
          </w:p>
        </w:tc>
      </w:tr>
      <w:tr w:rsidR="009107DA" w:rsidRPr="00C36E9D" w14:paraId="32E76011" w14:textId="77777777" w:rsidTr="007A10AF">
        <w:trPr>
          <w:trHeight w:val="303"/>
        </w:trPr>
        <w:tc>
          <w:tcPr>
            <w:tcW w:w="4900" w:type="dxa"/>
            <w:tcBorders>
              <w:top w:val="nil"/>
              <w:left w:val="nil"/>
              <w:bottom w:val="nil"/>
              <w:right w:val="nil"/>
            </w:tcBorders>
            <w:shd w:val="clear" w:color="auto" w:fill="auto"/>
            <w:noWrap/>
            <w:vAlign w:val="center"/>
          </w:tcPr>
          <w:p w14:paraId="32E7600E" w14:textId="77777777" w:rsidR="009107DA" w:rsidRPr="009C131A" w:rsidRDefault="009107DA" w:rsidP="009107DA">
            <w:pPr>
              <w:jc w:val="both"/>
              <w:rPr>
                <w:bCs/>
                <w:i/>
              </w:rPr>
            </w:pPr>
            <w:r w:rsidRPr="009C131A">
              <w:rPr>
                <w:bCs/>
                <w:i/>
              </w:rPr>
              <w:t xml:space="preserve">Adquisición de Licencias </w:t>
            </w:r>
          </w:p>
        </w:tc>
        <w:tc>
          <w:tcPr>
            <w:tcW w:w="1810" w:type="dxa"/>
            <w:tcBorders>
              <w:top w:val="nil"/>
              <w:left w:val="nil"/>
              <w:bottom w:val="nil"/>
              <w:right w:val="nil"/>
            </w:tcBorders>
            <w:shd w:val="clear" w:color="auto" w:fill="auto"/>
            <w:noWrap/>
            <w:vAlign w:val="center"/>
          </w:tcPr>
          <w:p w14:paraId="32E7600F" w14:textId="77777777" w:rsidR="009107DA" w:rsidRPr="008667B9" w:rsidRDefault="009107DA" w:rsidP="009107DA">
            <w:pPr>
              <w:jc w:val="right"/>
              <w:rPr>
                <w:bCs/>
                <w:i/>
              </w:rPr>
            </w:pPr>
            <w:r w:rsidRPr="008667B9">
              <w:rPr>
                <w:bCs/>
                <w:i/>
              </w:rPr>
              <w:t>0.00</w:t>
            </w:r>
          </w:p>
        </w:tc>
        <w:tc>
          <w:tcPr>
            <w:tcW w:w="1712" w:type="dxa"/>
            <w:tcBorders>
              <w:top w:val="nil"/>
              <w:left w:val="nil"/>
              <w:bottom w:val="nil"/>
              <w:right w:val="nil"/>
            </w:tcBorders>
            <w:shd w:val="clear" w:color="auto" w:fill="auto"/>
            <w:noWrap/>
            <w:vAlign w:val="center"/>
          </w:tcPr>
          <w:p w14:paraId="32E76010" w14:textId="77DA8487" w:rsidR="009107DA" w:rsidRPr="00B62757" w:rsidRDefault="009107DA" w:rsidP="009107DA">
            <w:pPr>
              <w:jc w:val="right"/>
              <w:rPr>
                <w:bCs/>
                <w:i/>
              </w:rPr>
            </w:pPr>
            <w:r w:rsidRPr="00B62757">
              <w:rPr>
                <w:bCs/>
                <w:i/>
              </w:rPr>
              <w:t>0.00</w:t>
            </w:r>
          </w:p>
        </w:tc>
      </w:tr>
      <w:tr w:rsidR="009107DA" w:rsidRPr="00C36E9D" w14:paraId="32E76015" w14:textId="77777777" w:rsidTr="007A10AF">
        <w:trPr>
          <w:trHeight w:val="303"/>
        </w:trPr>
        <w:tc>
          <w:tcPr>
            <w:tcW w:w="4900" w:type="dxa"/>
            <w:tcBorders>
              <w:top w:val="nil"/>
              <w:left w:val="nil"/>
              <w:bottom w:val="nil"/>
              <w:right w:val="nil"/>
            </w:tcBorders>
            <w:shd w:val="clear" w:color="auto" w:fill="auto"/>
            <w:noWrap/>
            <w:vAlign w:val="center"/>
          </w:tcPr>
          <w:p w14:paraId="32E76012" w14:textId="77777777" w:rsidR="009107DA" w:rsidRPr="00C36E9D" w:rsidRDefault="009107DA" w:rsidP="009107DA">
            <w:pPr>
              <w:jc w:val="both"/>
              <w:rPr>
                <w:b/>
                <w:bCs/>
                <w:i/>
              </w:rPr>
            </w:pPr>
            <w:r w:rsidRPr="00C36E9D">
              <w:rPr>
                <w:b/>
                <w:bCs/>
                <w:i/>
              </w:rPr>
              <w:t xml:space="preserve">Menos </w:t>
            </w:r>
          </w:p>
        </w:tc>
        <w:tc>
          <w:tcPr>
            <w:tcW w:w="1810" w:type="dxa"/>
            <w:tcBorders>
              <w:top w:val="nil"/>
              <w:left w:val="nil"/>
              <w:bottom w:val="nil"/>
              <w:right w:val="nil"/>
            </w:tcBorders>
            <w:shd w:val="clear" w:color="auto" w:fill="auto"/>
            <w:noWrap/>
            <w:vAlign w:val="center"/>
          </w:tcPr>
          <w:p w14:paraId="32E76013" w14:textId="77777777" w:rsidR="009107DA" w:rsidRPr="00AB2FDC" w:rsidRDefault="009107DA" w:rsidP="009107DA">
            <w:pPr>
              <w:jc w:val="right"/>
              <w:rPr>
                <w:b/>
                <w:bCs/>
                <w:i/>
              </w:rPr>
            </w:pPr>
          </w:p>
        </w:tc>
        <w:tc>
          <w:tcPr>
            <w:tcW w:w="1712" w:type="dxa"/>
            <w:tcBorders>
              <w:top w:val="nil"/>
              <w:left w:val="nil"/>
              <w:bottom w:val="nil"/>
              <w:right w:val="nil"/>
            </w:tcBorders>
            <w:shd w:val="clear" w:color="auto" w:fill="auto"/>
            <w:noWrap/>
            <w:vAlign w:val="center"/>
          </w:tcPr>
          <w:p w14:paraId="32E76014" w14:textId="77777777" w:rsidR="009107DA" w:rsidRPr="00B62757" w:rsidRDefault="009107DA" w:rsidP="009107DA">
            <w:pPr>
              <w:jc w:val="right"/>
              <w:rPr>
                <w:b/>
                <w:bCs/>
                <w:i/>
              </w:rPr>
            </w:pPr>
          </w:p>
        </w:tc>
      </w:tr>
      <w:tr w:rsidR="009107DA" w:rsidRPr="00C36E9D" w14:paraId="32E76019" w14:textId="77777777" w:rsidTr="007A10AF">
        <w:trPr>
          <w:trHeight w:val="303"/>
        </w:trPr>
        <w:tc>
          <w:tcPr>
            <w:tcW w:w="4900" w:type="dxa"/>
            <w:tcBorders>
              <w:top w:val="nil"/>
              <w:left w:val="nil"/>
              <w:bottom w:val="nil"/>
              <w:right w:val="nil"/>
            </w:tcBorders>
            <w:shd w:val="clear" w:color="auto" w:fill="auto"/>
            <w:noWrap/>
            <w:vAlign w:val="center"/>
          </w:tcPr>
          <w:p w14:paraId="32E76016" w14:textId="77777777" w:rsidR="009107DA" w:rsidRPr="00AB2FDC" w:rsidRDefault="009107DA" w:rsidP="009107DA">
            <w:pPr>
              <w:jc w:val="both"/>
              <w:rPr>
                <w:bCs/>
                <w:i/>
              </w:rPr>
            </w:pPr>
            <w:proofErr w:type="spellStart"/>
            <w:r w:rsidRPr="00AB2FDC">
              <w:rPr>
                <w:bCs/>
                <w:i/>
              </w:rPr>
              <w:t>Deprec</w:t>
            </w:r>
            <w:proofErr w:type="spellEnd"/>
            <w:r w:rsidRPr="00AB2FDC">
              <w:rPr>
                <w:bCs/>
                <w:i/>
              </w:rPr>
              <w:t xml:space="preserve">. </w:t>
            </w:r>
            <w:proofErr w:type="spellStart"/>
            <w:r w:rsidRPr="00AB2FDC">
              <w:rPr>
                <w:bCs/>
                <w:i/>
              </w:rPr>
              <w:t>Acum</w:t>
            </w:r>
            <w:proofErr w:type="spellEnd"/>
            <w:r w:rsidRPr="00AB2FDC">
              <w:rPr>
                <w:bCs/>
                <w:i/>
              </w:rPr>
              <w:t xml:space="preserve">. de Programa de Comp.  </w:t>
            </w:r>
          </w:p>
        </w:tc>
        <w:tc>
          <w:tcPr>
            <w:tcW w:w="1810" w:type="dxa"/>
            <w:tcBorders>
              <w:top w:val="nil"/>
              <w:left w:val="nil"/>
              <w:bottom w:val="nil"/>
              <w:right w:val="nil"/>
            </w:tcBorders>
            <w:shd w:val="clear" w:color="auto" w:fill="auto"/>
            <w:noWrap/>
            <w:vAlign w:val="center"/>
          </w:tcPr>
          <w:p w14:paraId="32E76017" w14:textId="0E97DA6C" w:rsidR="009107DA" w:rsidRPr="00AB2FDC" w:rsidRDefault="009107DA" w:rsidP="009107DA">
            <w:pPr>
              <w:jc w:val="right"/>
              <w:rPr>
                <w:bCs/>
                <w:i/>
                <w:highlight w:val="yellow"/>
              </w:rPr>
            </w:pPr>
            <w:r w:rsidRPr="00AB2FDC">
              <w:rPr>
                <w:bCs/>
                <w:i/>
              </w:rPr>
              <w:t xml:space="preserve">   </w:t>
            </w:r>
            <w:r w:rsidR="00DC03F9">
              <w:rPr>
                <w:bCs/>
                <w:i/>
              </w:rPr>
              <w:t>0.00</w:t>
            </w:r>
          </w:p>
        </w:tc>
        <w:tc>
          <w:tcPr>
            <w:tcW w:w="1712" w:type="dxa"/>
            <w:tcBorders>
              <w:top w:val="nil"/>
              <w:left w:val="nil"/>
              <w:bottom w:val="nil"/>
              <w:right w:val="nil"/>
            </w:tcBorders>
            <w:shd w:val="clear" w:color="auto" w:fill="auto"/>
            <w:noWrap/>
            <w:vAlign w:val="center"/>
          </w:tcPr>
          <w:p w14:paraId="32E76018" w14:textId="4F24134E" w:rsidR="009107DA" w:rsidRPr="00B62757" w:rsidRDefault="009107DA" w:rsidP="009107DA">
            <w:pPr>
              <w:jc w:val="right"/>
              <w:rPr>
                <w:bCs/>
                <w:i/>
              </w:rPr>
            </w:pPr>
            <w:r w:rsidRPr="00B62757">
              <w:rPr>
                <w:bCs/>
                <w:i/>
              </w:rPr>
              <w:t xml:space="preserve">   (389,975.40)</w:t>
            </w:r>
          </w:p>
        </w:tc>
      </w:tr>
      <w:tr w:rsidR="009107DA" w:rsidRPr="00C36E9D" w14:paraId="32E7601D" w14:textId="77777777" w:rsidTr="007A10AF">
        <w:trPr>
          <w:trHeight w:val="303"/>
        </w:trPr>
        <w:tc>
          <w:tcPr>
            <w:tcW w:w="4900" w:type="dxa"/>
            <w:tcBorders>
              <w:top w:val="nil"/>
              <w:left w:val="nil"/>
              <w:bottom w:val="nil"/>
              <w:right w:val="nil"/>
            </w:tcBorders>
            <w:shd w:val="clear" w:color="auto" w:fill="auto"/>
            <w:noWrap/>
            <w:vAlign w:val="center"/>
          </w:tcPr>
          <w:p w14:paraId="32E7601A" w14:textId="77777777" w:rsidR="009107DA" w:rsidRPr="00AB2FDC" w:rsidRDefault="009107DA" w:rsidP="009107DA">
            <w:pPr>
              <w:jc w:val="both"/>
              <w:rPr>
                <w:bCs/>
                <w:i/>
              </w:rPr>
            </w:pPr>
            <w:r>
              <w:rPr>
                <w:bCs/>
                <w:i/>
              </w:rPr>
              <w:t xml:space="preserve">Amortización </w:t>
            </w:r>
            <w:proofErr w:type="spellStart"/>
            <w:r>
              <w:rPr>
                <w:bCs/>
                <w:i/>
              </w:rPr>
              <w:t>Acum</w:t>
            </w:r>
            <w:proofErr w:type="spellEnd"/>
            <w:r>
              <w:rPr>
                <w:bCs/>
                <w:i/>
              </w:rPr>
              <w:t>. d</w:t>
            </w:r>
            <w:r w:rsidRPr="00AB2FDC">
              <w:rPr>
                <w:bCs/>
                <w:i/>
              </w:rPr>
              <w:t>e Licencias de Comp</w:t>
            </w:r>
            <w:r>
              <w:rPr>
                <w:bCs/>
                <w:i/>
              </w:rPr>
              <w:t>.</w:t>
            </w:r>
          </w:p>
        </w:tc>
        <w:tc>
          <w:tcPr>
            <w:tcW w:w="1810" w:type="dxa"/>
            <w:tcBorders>
              <w:top w:val="nil"/>
              <w:left w:val="nil"/>
              <w:bottom w:val="nil"/>
              <w:right w:val="nil"/>
            </w:tcBorders>
            <w:shd w:val="clear" w:color="auto" w:fill="auto"/>
            <w:noWrap/>
            <w:vAlign w:val="center"/>
          </w:tcPr>
          <w:p w14:paraId="32E7601B" w14:textId="495241E8" w:rsidR="009107DA" w:rsidRPr="00AB2FDC" w:rsidRDefault="00E35226" w:rsidP="009107DA">
            <w:pPr>
              <w:jc w:val="right"/>
              <w:rPr>
                <w:bCs/>
                <w:i/>
              </w:rPr>
            </w:pPr>
            <w:r>
              <w:rPr>
                <w:bCs/>
                <w:i/>
              </w:rPr>
              <w:t>0.00</w:t>
            </w:r>
          </w:p>
        </w:tc>
        <w:tc>
          <w:tcPr>
            <w:tcW w:w="1712" w:type="dxa"/>
            <w:tcBorders>
              <w:top w:val="nil"/>
              <w:left w:val="nil"/>
              <w:bottom w:val="nil"/>
              <w:right w:val="nil"/>
            </w:tcBorders>
            <w:shd w:val="clear" w:color="auto" w:fill="auto"/>
            <w:noWrap/>
            <w:vAlign w:val="center"/>
          </w:tcPr>
          <w:p w14:paraId="32E7601C" w14:textId="0B2F6D60" w:rsidR="009107DA" w:rsidRPr="00B62757" w:rsidRDefault="009107DA" w:rsidP="009107DA">
            <w:pPr>
              <w:jc w:val="right"/>
              <w:rPr>
                <w:bCs/>
                <w:i/>
              </w:rPr>
            </w:pPr>
            <w:r w:rsidRPr="00B62757">
              <w:rPr>
                <w:bCs/>
                <w:i/>
              </w:rPr>
              <w:t>(590,002.66)</w:t>
            </w:r>
          </w:p>
        </w:tc>
      </w:tr>
      <w:tr w:rsidR="00F5656D" w:rsidRPr="00C36E9D" w14:paraId="32E76021" w14:textId="77777777" w:rsidTr="007A10AF">
        <w:trPr>
          <w:trHeight w:val="303"/>
        </w:trPr>
        <w:tc>
          <w:tcPr>
            <w:tcW w:w="4900" w:type="dxa"/>
            <w:tcBorders>
              <w:top w:val="nil"/>
              <w:left w:val="nil"/>
              <w:bottom w:val="nil"/>
              <w:right w:val="nil"/>
            </w:tcBorders>
            <w:shd w:val="clear" w:color="auto" w:fill="auto"/>
            <w:noWrap/>
            <w:vAlign w:val="center"/>
          </w:tcPr>
          <w:p w14:paraId="32E7601E" w14:textId="77777777" w:rsidR="00F5656D" w:rsidRPr="008667B9" w:rsidRDefault="00F5656D" w:rsidP="007A10AF">
            <w:pPr>
              <w:jc w:val="both"/>
              <w:rPr>
                <w:b/>
                <w:bCs/>
                <w:i/>
              </w:rPr>
            </w:pPr>
          </w:p>
        </w:tc>
        <w:tc>
          <w:tcPr>
            <w:tcW w:w="1810" w:type="dxa"/>
            <w:tcBorders>
              <w:top w:val="nil"/>
              <w:left w:val="nil"/>
              <w:bottom w:val="nil"/>
              <w:right w:val="nil"/>
            </w:tcBorders>
            <w:shd w:val="clear" w:color="auto" w:fill="auto"/>
            <w:noWrap/>
            <w:vAlign w:val="center"/>
          </w:tcPr>
          <w:p w14:paraId="32E7601F" w14:textId="77777777" w:rsidR="00F5656D" w:rsidRPr="008667B9" w:rsidRDefault="00F5656D" w:rsidP="007A10AF">
            <w:pPr>
              <w:jc w:val="right"/>
              <w:rPr>
                <w:b/>
                <w:bCs/>
                <w:i/>
                <w:u w:val="single"/>
              </w:rPr>
            </w:pPr>
          </w:p>
        </w:tc>
        <w:tc>
          <w:tcPr>
            <w:tcW w:w="1712" w:type="dxa"/>
            <w:tcBorders>
              <w:top w:val="nil"/>
              <w:left w:val="nil"/>
              <w:bottom w:val="nil"/>
              <w:right w:val="nil"/>
            </w:tcBorders>
            <w:shd w:val="clear" w:color="auto" w:fill="auto"/>
            <w:noWrap/>
            <w:vAlign w:val="center"/>
          </w:tcPr>
          <w:p w14:paraId="32E76020" w14:textId="77777777" w:rsidR="00F5656D" w:rsidRPr="00B62757" w:rsidRDefault="00F5656D" w:rsidP="007A10AF">
            <w:pPr>
              <w:jc w:val="right"/>
              <w:rPr>
                <w:b/>
                <w:bCs/>
                <w:i/>
                <w:u w:val="single"/>
              </w:rPr>
            </w:pPr>
          </w:p>
        </w:tc>
      </w:tr>
      <w:tr w:rsidR="00F5656D" w:rsidRPr="00C36E9D" w14:paraId="32E76025" w14:textId="77777777" w:rsidTr="007A10AF">
        <w:trPr>
          <w:trHeight w:val="303"/>
        </w:trPr>
        <w:tc>
          <w:tcPr>
            <w:tcW w:w="4900" w:type="dxa"/>
            <w:tcBorders>
              <w:top w:val="nil"/>
              <w:left w:val="nil"/>
              <w:bottom w:val="nil"/>
              <w:right w:val="nil"/>
            </w:tcBorders>
            <w:shd w:val="clear" w:color="auto" w:fill="auto"/>
            <w:noWrap/>
            <w:vAlign w:val="center"/>
          </w:tcPr>
          <w:p w14:paraId="32E76022" w14:textId="77777777" w:rsidR="00F5656D" w:rsidRPr="008667B9" w:rsidRDefault="00F5656D" w:rsidP="007A10AF">
            <w:pPr>
              <w:rPr>
                <w:b/>
                <w:i/>
              </w:rPr>
            </w:pPr>
            <w:r w:rsidRPr="008667B9">
              <w:rPr>
                <w:b/>
                <w:i/>
              </w:rPr>
              <w:t>Ajustes y Reclasificaciones</w:t>
            </w:r>
          </w:p>
        </w:tc>
        <w:tc>
          <w:tcPr>
            <w:tcW w:w="1810" w:type="dxa"/>
            <w:tcBorders>
              <w:top w:val="nil"/>
              <w:left w:val="nil"/>
              <w:bottom w:val="nil"/>
              <w:right w:val="nil"/>
            </w:tcBorders>
            <w:shd w:val="clear" w:color="auto" w:fill="auto"/>
            <w:noWrap/>
            <w:vAlign w:val="center"/>
          </w:tcPr>
          <w:p w14:paraId="32E76023" w14:textId="77777777" w:rsidR="00F5656D" w:rsidRPr="008667B9" w:rsidRDefault="00F5656D" w:rsidP="007A10AF">
            <w:pPr>
              <w:jc w:val="right"/>
              <w:rPr>
                <w:b/>
                <w:bCs/>
                <w:i/>
                <w:u w:val="single"/>
              </w:rPr>
            </w:pPr>
          </w:p>
        </w:tc>
        <w:tc>
          <w:tcPr>
            <w:tcW w:w="1712" w:type="dxa"/>
            <w:tcBorders>
              <w:top w:val="nil"/>
              <w:left w:val="nil"/>
              <w:bottom w:val="nil"/>
              <w:right w:val="nil"/>
            </w:tcBorders>
            <w:shd w:val="clear" w:color="auto" w:fill="auto"/>
            <w:noWrap/>
            <w:vAlign w:val="center"/>
          </w:tcPr>
          <w:p w14:paraId="32E76024" w14:textId="77777777" w:rsidR="00F5656D" w:rsidRPr="00B62757" w:rsidRDefault="00F5656D" w:rsidP="007A10AF">
            <w:pPr>
              <w:jc w:val="right"/>
              <w:rPr>
                <w:b/>
                <w:bCs/>
                <w:i/>
                <w:u w:val="single"/>
              </w:rPr>
            </w:pPr>
          </w:p>
        </w:tc>
      </w:tr>
      <w:tr w:rsidR="00F5656D" w:rsidRPr="00C36E9D" w14:paraId="32E7602D" w14:textId="77777777" w:rsidTr="007A10AF">
        <w:trPr>
          <w:trHeight w:val="303"/>
        </w:trPr>
        <w:tc>
          <w:tcPr>
            <w:tcW w:w="4900" w:type="dxa"/>
            <w:tcBorders>
              <w:top w:val="nil"/>
              <w:left w:val="nil"/>
              <w:bottom w:val="nil"/>
              <w:right w:val="nil"/>
            </w:tcBorders>
            <w:shd w:val="clear" w:color="auto" w:fill="auto"/>
            <w:noWrap/>
            <w:vAlign w:val="center"/>
          </w:tcPr>
          <w:p w14:paraId="32E7602A" w14:textId="77777777" w:rsidR="00F5656D" w:rsidRPr="008667B9" w:rsidRDefault="00F5656D" w:rsidP="007A10AF">
            <w:pPr>
              <w:jc w:val="both"/>
              <w:rPr>
                <w:bCs/>
                <w:i/>
              </w:rPr>
            </w:pPr>
            <w:r w:rsidRPr="008667B9">
              <w:rPr>
                <w:bCs/>
                <w:i/>
              </w:rPr>
              <w:t>Reclasificación de Registros (Licencias a C/P)</w:t>
            </w:r>
          </w:p>
        </w:tc>
        <w:tc>
          <w:tcPr>
            <w:tcW w:w="1810" w:type="dxa"/>
            <w:tcBorders>
              <w:top w:val="nil"/>
              <w:left w:val="nil"/>
              <w:bottom w:val="nil"/>
              <w:right w:val="nil"/>
            </w:tcBorders>
            <w:shd w:val="clear" w:color="auto" w:fill="auto"/>
            <w:noWrap/>
            <w:vAlign w:val="center"/>
          </w:tcPr>
          <w:p w14:paraId="32E7602B" w14:textId="6EAB142B" w:rsidR="00F5656D" w:rsidRPr="008667B9" w:rsidRDefault="00F5656D" w:rsidP="007A10AF">
            <w:pPr>
              <w:jc w:val="right"/>
              <w:rPr>
                <w:bCs/>
                <w:i/>
                <w:u w:val="single"/>
              </w:rPr>
            </w:pPr>
            <w:r w:rsidRPr="008667B9">
              <w:rPr>
                <w:bCs/>
                <w:i/>
                <w:u w:val="single"/>
              </w:rPr>
              <w:t xml:space="preserve"> </w:t>
            </w:r>
            <w:r w:rsidR="00E35226">
              <w:rPr>
                <w:bCs/>
                <w:i/>
                <w:u w:val="single"/>
              </w:rPr>
              <w:t xml:space="preserve">                 </w:t>
            </w:r>
            <w:r w:rsidRPr="008667B9">
              <w:rPr>
                <w:bCs/>
                <w:i/>
                <w:u w:val="single"/>
              </w:rPr>
              <w:t xml:space="preserve"> </w:t>
            </w:r>
            <w:r w:rsidR="00E35226">
              <w:rPr>
                <w:bCs/>
                <w:i/>
                <w:u w:val="single"/>
              </w:rPr>
              <w:t>0.00</w:t>
            </w:r>
          </w:p>
        </w:tc>
        <w:tc>
          <w:tcPr>
            <w:tcW w:w="1712" w:type="dxa"/>
            <w:tcBorders>
              <w:top w:val="nil"/>
              <w:left w:val="nil"/>
              <w:bottom w:val="nil"/>
              <w:right w:val="nil"/>
            </w:tcBorders>
            <w:shd w:val="clear" w:color="auto" w:fill="auto"/>
            <w:noWrap/>
            <w:vAlign w:val="center"/>
          </w:tcPr>
          <w:p w14:paraId="32E7602C" w14:textId="029CDD0E" w:rsidR="00F5656D" w:rsidRPr="00B62757" w:rsidRDefault="009434C5" w:rsidP="007A10AF">
            <w:pPr>
              <w:jc w:val="right"/>
              <w:rPr>
                <w:bCs/>
                <w:i/>
                <w:u w:val="single"/>
              </w:rPr>
            </w:pPr>
            <w:r w:rsidRPr="00B62757">
              <w:rPr>
                <w:bCs/>
                <w:i/>
                <w:u w:val="single"/>
              </w:rPr>
              <w:t>(1,085.857.31)</w:t>
            </w:r>
          </w:p>
        </w:tc>
      </w:tr>
      <w:tr w:rsidR="00F5656D" w:rsidRPr="002E6615" w14:paraId="32E76031" w14:textId="77777777" w:rsidTr="007A10AF">
        <w:trPr>
          <w:trHeight w:val="303"/>
        </w:trPr>
        <w:tc>
          <w:tcPr>
            <w:tcW w:w="4900" w:type="dxa"/>
            <w:tcBorders>
              <w:top w:val="nil"/>
              <w:left w:val="nil"/>
              <w:bottom w:val="nil"/>
              <w:right w:val="nil"/>
            </w:tcBorders>
            <w:shd w:val="clear" w:color="auto" w:fill="auto"/>
            <w:noWrap/>
            <w:vAlign w:val="center"/>
          </w:tcPr>
          <w:p w14:paraId="32E7602E" w14:textId="77777777" w:rsidR="00F5656D" w:rsidRPr="00C36E9D" w:rsidRDefault="00F5656D" w:rsidP="007A10AF">
            <w:pPr>
              <w:jc w:val="both"/>
              <w:rPr>
                <w:b/>
                <w:bCs/>
                <w:i/>
              </w:rPr>
            </w:pPr>
            <w:r>
              <w:rPr>
                <w:b/>
                <w:bCs/>
                <w:i/>
              </w:rPr>
              <w:t>Total de Bienes Intangibles</w:t>
            </w:r>
          </w:p>
        </w:tc>
        <w:tc>
          <w:tcPr>
            <w:tcW w:w="1810" w:type="dxa"/>
            <w:tcBorders>
              <w:top w:val="nil"/>
              <w:left w:val="nil"/>
              <w:bottom w:val="nil"/>
              <w:right w:val="nil"/>
            </w:tcBorders>
            <w:shd w:val="clear" w:color="auto" w:fill="auto"/>
            <w:noWrap/>
            <w:vAlign w:val="center"/>
          </w:tcPr>
          <w:p w14:paraId="32E7602F" w14:textId="77777777" w:rsidR="00F5656D" w:rsidRPr="00792E3C" w:rsidRDefault="00F5656D" w:rsidP="007A10AF">
            <w:pPr>
              <w:jc w:val="right"/>
              <w:rPr>
                <w:b/>
                <w:bCs/>
                <w:i/>
                <w:highlight w:val="yellow"/>
                <w:u w:val="double"/>
              </w:rPr>
            </w:pPr>
            <w:r>
              <w:rPr>
                <w:b/>
                <w:bCs/>
                <w:i/>
                <w:u w:val="double"/>
              </w:rPr>
              <w:t xml:space="preserve">   </w:t>
            </w:r>
            <w:r w:rsidRPr="00F5656D">
              <w:rPr>
                <w:b/>
                <w:bCs/>
                <w:i/>
                <w:u w:val="double"/>
              </w:rPr>
              <w:t>39,233,391.79</w:t>
            </w:r>
          </w:p>
        </w:tc>
        <w:tc>
          <w:tcPr>
            <w:tcW w:w="1712" w:type="dxa"/>
            <w:tcBorders>
              <w:top w:val="nil"/>
              <w:left w:val="nil"/>
              <w:bottom w:val="nil"/>
              <w:right w:val="nil"/>
            </w:tcBorders>
            <w:shd w:val="clear" w:color="auto" w:fill="auto"/>
            <w:noWrap/>
            <w:vAlign w:val="center"/>
          </w:tcPr>
          <w:p w14:paraId="32E76030" w14:textId="4D781638" w:rsidR="00F5656D" w:rsidRPr="00B62757" w:rsidRDefault="009434C5" w:rsidP="007A10AF">
            <w:pPr>
              <w:jc w:val="right"/>
              <w:rPr>
                <w:b/>
                <w:bCs/>
                <w:i/>
                <w:u w:val="double"/>
              </w:rPr>
            </w:pPr>
            <w:r w:rsidRPr="00B62757">
              <w:rPr>
                <w:b/>
                <w:bCs/>
                <w:i/>
                <w:u w:val="double"/>
              </w:rPr>
              <w:t>39,233,391.79</w:t>
            </w:r>
          </w:p>
        </w:tc>
      </w:tr>
    </w:tbl>
    <w:p w14:paraId="32E76032" w14:textId="77777777" w:rsidR="00757DA1" w:rsidRPr="009C3BCF" w:rsidRDefault="00757DA1" w:rsidP="00757DA1">
      <w:pPr>
        <w:spacing w:line="360" w:lineRule="auto"/>
        <w:jc w:val="both"/>
        <w:rPr>
          <w:b/>
          <w:i/>
          <w:sz w:val="10"/>
        </w:rPr>
      </w:pPr>
    </w:p>
    <w:p w14:paraId="32E76033" w14:textId="77777777" w:rsidR="00757DA1" w:rsidRPr="000F4A03" w:rsidRDefault="00757DA1" w:rsidP="00757DA1">
      <w:pPr>
        <w:spacing w:line="360" w:lineRule="auto"/>
        <w:jc w:val="both"/>
        <w:rPr>
          <w:b/>
          <w:i/>
          <w:sz w:val="2"/>
        </w:rPr>
      </w:pPr>
    </w:p>
    <w:p w14:paraId="62A4E756" w14:textId="77777777" w:rsidR="00FD7A06" w:rsidRDefault="00FD7A06" w:rsidP="00757DA1">
      <w:pPr>
        <w:spacing w:line="276" w:lineRule="auto"/>
        <w:jc w:val="both"/>
        <w:rPr>
          <w:b/>
          <w:i/>
          <w:sz w:val="28"/>
        </w:rPr>
      </w:pPr>
    </w:p>
    <w:p w14:paraId="528447E4" w14:textId="77777777" w:rsidR="00FD7A06" w:rsidRDefault="00FD7A06" w:rsidP="00757DA1">
      <w:pPr>
        <w:spacing w:line="276" w:lineRule="auto"/>
        <w:jc w:val="both"/>
        <w:rPr>
          <w:b/>
          <w:i/>
          <w:sz w:val="28"/>
        </w:rPr>
      </w:pPr>
    </w:p>
    <w:p w14:paraId="643E8094" w14:textId="77777777" w:rsidR="00FD7A06" w:rsidRDefault="00FD7A06" w:rsidP="00757DA1">
      <w:pPr>
        <w:spacing w:line="276" w:lineRule="auto"/>
        <w:jc w:val="both"/>
        <w:rPr>
          <w:b/>
          <w:i/>
          <w:sz w:val="28"/>
        </w:rPr>
      </w:pPr>
    </w:p>
    <w:p w14:paraId="08B59AB8" w14:textId="77777777" w:rsidR="00FD7A06" w:rsidRDefault="00FD7A06" w:rsidP="00757DA1">
      <w:pPr>
        <w:spacing w:line="276" w:lineRule="auto"/>
        <w:jc w:val="both"/>
        <w:rPr>
          <w:b/>
          <w:i/>
          <w:sz w:val="28"/>
        </w:rPr>
      </w:pPr>
    </w:p>
    <w:p w14:paraId="32E76040" w14:textId="77777777" w:rsidR="00757DA1" w:rsidRPr="00000C1D" w:rsidRDefault="00757DA1" w:rsidP="00757DA1">
      <w:pPr>
        <w:spacing w:line="360" w:lineRule="auto"/>
        <w:jc w:val="both"/>
        <w:rPr>
          <w:b/>
          <w:i/>
          <w:sz w:val="12"/>
        </w:rPr>
      </w:pPr>
    </w:p>
    <w:p w14:paraId="539A52D7" w14:textId="77777777" w:rsidR="00B62757" w:rsidRDefault="00B62757" w:rsidP="00757DA1">
      <w:pPr>
        <w:pStyle w:val="Ttulo2"/>
        <w:spacing w:line="360" w:lineRule="auto"/>
        <w:jc w:val="both"/>
        <w:rPr>
          <w:rStyle w:val="CarCar"/>
          <w:rFonts w:ascii="Times New Roman" w:hAnsi="Times New Roman" w:cs="Times New Roman"/>
          <w:b/>
          <w:bCs/>
          <w:i/>
          <w:sz w:val="24"/>
          <w:highlight w:val="yellow"/>
        </w:rPr>
      </w:pPr>
    </w:p>
    <w:p w14:paraId="32E76042" w14:textId="16DDBCA2" w:rsidR="00757DA1" w:rsidRPr="00EB6AE0" w:rsidRDefault="00757DA1" w:rsidP="00757DA1">
      <w:pPr>
        <w:pStyle w:val="Ttulo2"/>
        <w:spacing w:line="360" w:lineRule="auto"/>
        <w:jc w:val="both"/>
        <w:rPr>
          <w:rStyle w:val="CarCar"/>
          <w:rFonts w:ascii="Times New Roman" w:hAnsi="Times New Roman" w:cs="Times New Roman"/>
          <w:b/>
          <w:bCs/>
          <w:i/>
          <w:sz w:val="24"/>
        </w:rPr>
      </w:pPr>
      <w:r w:rsidRPr="00EB6AE0">
        <w:rPr>
          <w:rStyle w:val="CarCar"/>
          <w:rFonts w:ascii="Times New Roman" w:hAnsi="Times New Roman" w:cs="Times New Roman"/>
          <w:b/>
          <w:bCs/>
          <w:i/>
          <w:sz w:val="24"/>
        </w:rPr>
        <w:t>PASIVOS</w:t>
      </w:r>
    </w:p>
    <w:p w14:paraId="32E76043" w14:textId="667EED81" w:rsidR="002B0864" w:rsidRPr="00EB6AE0" w:rsidRDefault="002B0864" w:rsidP="002B0864">
      <w:pPr>
        <w:spacing w:line="276" w:lineRule="auto"/>
        <w:rPr>
          <w:b/>
          <w:i/>
          <w:sz w:val="28"/>
          <w:lang w:eastAsia="es-ES"/>
        </w:rPr>
      </w:pPr>
      <w:r w:rsidRPr="00EB6AE0">
        <w:rPr>
          <w:b/>
          <w:i/>
          <w:sz w:val="28"/>
          <w:lang w:eastAsia="es-ES"/>
        </w:rPr>
        <w:t>Nota 1</w:t>
      </w:r>
      <w:r w:rsidR="001A7303">
        <w:rPr>
          <w:b/>
          <w:i/>
          <w:sz w:val="28"/>
          <w:lang w:eastAsia="es-ES"/>
        </w:rPr>
        <w:t>3</w:t>
      </w:r>
      <w:r w:rsidRPr="00EB6AE0">
        <w:rPr>
          <w:b/>
          <w:i/>
          <w:sz w:val="28"/>
          <w:lang w:eastAsia="es-ES"/>
        </w:rPr>
        <w:t xml:space="preserve">: Cuentas por Pagar </w:t>
      </w:r>
      <w:r w:rsidR="006C1822">
        <w:rPr>
          <w:b/>
          <w:i/>
          <w:sz w:val="28"/>
          <w:lang w:eastAsia="es-ES"/>
        </w:rPr>
        <w:t>a corto plazo</w:t>
      </w:r>
    </w:p>
    <w:p w14:paraId="32E76044" w14:textId="03CFE856" w:rsidR="002B0864" w:rsidRPr="00EB6AE0" w:rsidRDefault="002B0864" w:rsidP="002B0864">
      <w:pPr>
        <w:spacing w:line="360" w:lineRule="auto"/>
        <w:jc w:val="both"/>
        <w:rPr>
          <w:i/>
        </w:rPr>
      </w:pPr>
      <w:r w:rsidRPr="00EB6AE0">
        <w:rPr>
          <w:bCs/>
          <w:i/>
          <w:lang w:eastAsia="es-ES"/>
        </w:rPr>
        <w:t xml:space="preserve">Al 31 de Diciembre </w:t>
      </w:r>
      <w:r w:rsidRPr="00EB6AE0">
        <w:rPr>
          <w:rStyle w:val="CarCar"/>
          <w:rFonts w:ascii="Times New Roman" w:hAnsi="Times New Roman" w:cs="Times New Roman"/>
          <w:b w:val="0"/>
          <w:i/>
          <w:sz w:val="24"/>
        </w:rPr>
        <w:t xml:space="preserve">de los </w:t>
      </w:r>
      <w:proofErr w:type="gramStart"/>
      <w:r w:rsidRPr="00EB6AE0">
        <w:rPr>
          <w:rStyle w:val="CarCar"/>
          <w:rFonts w:ascii="Times New Roman" w:hAnsi="Times New Roman" w:cs="Times New Roman"/>
          <w:b w:val="0"/>
          <w:i/>
          <w:sz w:val="24"/>
        </w:rPr>
        <w:t xml:space="preserve">años  </w:t>
      </w:r>
      <w:r w:rsidR="004B0A9D" w:rsidRPr="00EB6AE0">
        <w:rPr>
          <w:rStyle w:val="CarCar"/>
          <w:rFonts w:ascii="Times New Roman" w:hAnsi="Times New Roman" w:cs="Times New Roman"/>
          <w:b w:val="0"/>
          <w:i/>
          <w:sz w:val="24"/>
        </w:rPr>
        <w:t>2022</w:t>
      </w:r>
      <w:proofErr w:type="gramEnd"/>
      <w:r w:rsidR="004B0A9D" w:rsidRPr="00EB6AE0">
        <w:rPr>
          <w:rStyle w:val="CarCar"/>
          <w:rFonts w:ascii="Times New Roman" w:hAnsi="Times New Roman" w:cs="Times New Roman"/>
          <w:b w:val="0"/>
          <w:i/>
          <w:sz w:val="24"/>
        </w:rPr>
        <w:t xml:space="preserve">  y  2021</w:t>
      </w:r>
      <w:r w:rsidRPr="00EB6AE0">
        <w:rPr>
          <w:rStyle w:val="CarCar"/>
          <w:rFonts w:ascii="Times New Roman" w:hAnsi="Times New Roman" w:cs="Times New Roman"/>
          <w:b w:val="0"/>
          <w:i/>
          <w:sz w:val="24"/>
        </w:rPr>
        <w:t xml:space="preserve">, </w:t>
      </w:r>
      <w:r w:rsidRPr="00EB6AE0">
        <w:rPr>
          <w:i/>
        </w:rPr>
        <w:t>el total de Cuentas por Pagar es de RD$</w:t>
      </w:r>
      <w:r w:rsidR="0090506B" w:rsidRPr="00EB6AE0">
        <w:rPr>
          <w:i/>
        </w:rPr>
        <w:t>507,280.53</w:t>
      </w:r>
      <w:r w:rsidR="003F48D4" w:rsidRPr="00EB6AE0">
        <w:rPr>
          <w:i/>
        </w:rPr>
        <w:t xml:space="preserve"> y RD$1,414,205.67 </w:t>
      </w:r>
      <w:r w:rsidR="002642DB" w:rsidRPr="00EB6AE0">
        <w:rPr>
          <w:i/>
        </w:rPr>
        <w:t xml:space="preserve"> </w:t>
      </w:r>
      <w:r w:rsidRPr="00EB6AE0">
        <w:rPr>
          <w:i/>
        </w:rPr>
        <w:t>respectivamente, según el siguiente detalle:</w:t>
      </w:r>
    </w:p>
    <w:p w14:paraId="32E76045" w14:textId="50D4D06D" w:rsidR="002B0864" w:rsidRPr="00EB6AE0" w:rsidRDefault="002B0864" w:rsidP="002B0864">
      <w:pPr>
        <w:spacing w:line="360" w:lineRule="auto"/>
        <w:jc w:val="both"/>
        <w:rPr>
          <w:i/>
        </w:rPr>
      </w:pPr>
      <w:r w:rsidRPr="00EB6AE0">
        <w:rPr>
          <w:b/>
          <w:i/>
        </w:rPr>
        <w:t>Descripción</w:t>
      </w:r>
      <w:r w:rsidRPr="00EB6AE0">
        <w:rPr>
          <w:b/>
          <w:i/>
        </w:rPr>
        <w:tab/>
      </w:r>
      <w:r w:rsidRPr="00EB6AE0">
        <w:rPr>
          <w:b/>
          <w:i/>
        </w:rPr>
        <w:tab/>
      </w:r>
      <w:r w:rsidRPr="00EB6AE0">
        <w:rPr>
          <w:b/>
          <w:i/>
        </w:rPr>
        <w:tab/>
      </w:r>
      <w:r w:rsidRPr="00EB6AE0">
        <w:rPr>
          <w:b/>
          <w:i/>
        </w:rPr>
        <w:tab/>
      </w:r>
      <w:r w:rsidRPr="00EB6AE0">
        <w:rPr>
          <w:b/>
          <w:i/>
        </w:rPr>
        <w:tab/>
      </w:r>
      <w:r w:rsidRPr="00EB6AE0">
        <w:rPr>
          <w:b/>
          <w:i/>
        </w:rPr>
        <w:tab/>
        <w:t xml:space="preserve">               </w:t>
      </w:r>
      <w:r w:rsidR="003E0715" w:rsidRPr="00EB6AE0">
        <w:rPr>
          <w:b/>
          <w:i/>
        </w:rPr>
        <w:t>2022</w:t>
      </w:r>
      <w:r w:rsidR="003E0715" w:rsidRPr="00EB6AE0">
        <w:rPr>
          <w:b/>
          <w:i/>
        </w:rPr>
        <w:tab/>
      </w:r>
      <w:r w:rsidR="003E0715" w:rsidRPr="00EB6AE0">
        <w:rPr>
          <w:b/>
          <w:i/>
        </w:rPr>
        <w:tab/>
        <w:t xml:space="preserve">    2021</w:t>
      </w:r>
    </w:p>
    <w:tbl>
      <w:tblPr>
        <w:tblW w:w="10080" w:type="dxa"/>
        <w:tblInd w:w="93" w:type="dxa"/>
        <w:tblLook w:val="04A0" w:firstRow="1" w:lastRow="0" w:firstColumn="1" w:lastColumn="0" w:noHBand="0" w:noVBand="1"/>
      </w:tblPr>
      <w:tblGrid>
        <w:gridCol w:w="4900"/>
        <w:gridCol w:w="1756"/>
        <w:gridCol w:w="1712"/>
        <w:gridCol w:w="1712"/>
      </w:tblGrid>
      <w:tr w:rsidR="00F04519" w:rsidRPr="00EB6AE0" w14:paraId="32E76049" w14:textId="77777777" w:rsidTr="00F04519">
        <w:trPr>
          <w:trHeight w:val="317"/>
        </w:trPr>
        <w:tc>
          <w:tcPr>
            <w:tcW w:w="4900" w:type="dxa"/>
            <w:tcBorders>
              <w:top w:val="nil"/>
              <w:left w:val="nil"/>
              <w:bottom w:val="nil"/>
              <w:right w:val="nil"/>
            </w:tcBorders>
            <w:shd w:val="clear" w:color="auto" w:fill="auto"/>
            <w:noWrap/>
            <w:vAlign w:val="center"/>
            <w:hideMark/>
          </w:tcPr>
          <w:p w14:paraId="32E76046" w14:textId="77777777" w:rsidR="00F04519" w:rsidRPr="00EB6AE0" w:rsidRDefault="00F04519" w:rsidP="00F04519">
            <w:pPr>
              <w:spacing w:line="276" w:lineRule="auto"/>
              <w:rPr>
                <w:i/>
                <w:color w:val="000000"/>
                <w:lang w:eastAsia="es-ES"/>
              </w:rPr>
            </w:pPr>
            <w:r w:rsidRPr="00EB6AE0">
              <w:rPr>
                <w:i/>
                <w:color w:val="000000"/>
                <w:lang w:eastAsia="es-ES"/>
              </w:rPr>
              <w:t>Proveedores Locales</w:t>
            </w:r>
          </w:p>
        </w:tc>
        <w:tc>
          <w:tcPr>
            <w:tcW w:w="1756" w:type="dxa"/>
            <w:tcBorders>
              <w:top w:val="nil"/>
              <w:left w:val="nil"/>
              <w:right w:val="nil"/>
            </w:tcBorders>
            <w:shd w:val="clear" w:color="auto" w:fill="auto"/>
            <w:noWrap/>
            <w:vAlign w:val="center"/>
            <w:hideMark/>
          </w:tcPr>
          <w:p w14:paraId="32E76047" w14:textId="5669E9E0" w:rsidR="00F04519" w:rsidRPr="00EB6AE0" w:rsidRDefault="00B4714A" w:rsidP="00F04519">
            <w:pPr>
              <w:spacing w:line="276" w:lineRule="auto"/>
              <w:jc w:val="right"/>
              <w:rPr>
                <w:i/>
                <w:color w:val="000000"/>
              </w:rPr>
            </w:pPr>
            <w:r w:rsidRPr="00EB6AE0">
              <w:rPr>
                <w:i/>
                <w:color w:val="000000"/>
              </w:rPr>
              <w:t>0.00</w:t>
            </w:r>
          </w:p>
        </w:tc>
        <w:tc>
          <w:tcPr>
            <w:tcW w:w="1712" w:type="dxa"/>
            <w:tcBorders>
              <w:top w:val="nil"/>
              <w:left w:val="nil"/>
              <w:right w:val="nil"/>
            </w:tcBorders>
            <w:vAlign w:val="center"/>
          </w:tcPr>
          <w:p w14:paraId="4370A3A9" w14:textId="1C4ED2F7" w:rsidR="00F04519" w:rsidRPr="00EB6AE0" w:rsidRDefault="00F04519" w:rsidP="00F04519">
            <w:pPr>
              <w:spacing w:line="276" w:lineRule="auto"/>
              <w:jc w:val="right"/>
              <w:rPr>
                <w:i/>
                <w:color w:val="000000"/>
              </w:rPr>
            </w:pPr>
            <w:r w:rsidRPr="00EB6AE0">
              <w:rPr>
                <w:i/>
                <w:color w:val="000000"/>
              </w:rPr>
              <w:t>265,851.10</w:t>
            </w:r>
          </w:p>
        </w:tc>
        <w:tc>
          <w:tcPr>
            <w:tcW w:w="1712" w:type="dxa"/>
            <w:tcBorders>
              <w:top w:val="nil"/>
              <w:left w:val="nil"/>
              <w:bottom w:val="nil"/>
              <w:right w:val="nil"/>
            </w:tcBorders>
            <w:shd w:val="clear" w:color="auto" w:fill="auto"/>
            <w:noWrap/>
            <w:vAlign w:val="center"/>
          </w:tcPr>
          <w:p w14:paraId="32E76048" w14:textId="4C303992" w:rsidR="00F04519" w:rsidRPr="00EB6AE0" w:rsidRDefault="00F04519" w:rsidP="00F04519">
            <w:pPr>
              <w:spacing w:line="276" w:lineRule="auto"/>
              <w:jc w:val="right"/>
              <w:rPr>
                <w:i/>
                <w:color w:val="000000"/>
              </w:rPr>
            </w:pPr>
          </w:p>
        </w:tc>
      </w:tr>
      <w:tr w:rsidR="00F04519" w:rsidRPr="00EB6AE0" w14:paraId="32E7604D" w14:textId="77777777" w:rsidTr="00224DDF">
        <w:trPr>
          <w:trHeight w:val="317"/>
        </w:trPr>
        <w:tc>
          <w:tcPr>
            <w:tcW w:w="4900" w:type="dxa"/>
            <w:tcBorders>
              <w:top w:val="nil"/>
              <w:left w:val="nil"/>
              <w:bottom w:val="nil"/>
              <w:right w:val="nil"/>
            </w:tcBorders>
            <w:shd w:val="clear" w:color="auto" w:fill="auto"/>
            <w:noWrap/>
            <w:vAlign w:val="center"/>
          </w:tcPr>
          <w:p w14:paraId="32E7604A" w14:textId="77777777" w:rsidR="00F04519" w:rsidRPr="00EB6AE0" w:rsidRDefault="00F04519" w:rsidP="00F04519">
            <w:pPr>
              <w:spacing w:line="276" w:lineRule="auto"/>
              <w:rPr>
                <w:i/>
                <w:color w:val="000000"/>
                <w:lang w:eastAsia="es-ES"/>
              </w:rPr>
            </w:pPr>
            <w:r w:rsidRPr="00EB6AE0">
              <w:rPr>
                <w:i/>
                <w:color w:val="000000"/>
                <w:lang w:eastAsia="es-ES"/>
              </w:rPr>
              <w:t>Servicio por pagar</w:t>
            </w:r>
          </w:p>
        </w:tc>
        <w:tc>
          <w:tcPr>
            <w:tcW w:w="1756" w:type="dxa"/>
            <w:tcBorders>
              <w:top w:val="nil"/>
              <w:left w:val="nil"/>
              <w:right w:val="nil"/>
            </w:tcBorders>
            <w:shd w:val="clear" w:color="auto" w:fill="auto"/>
            <w:noWrap/>
            <w:vAlign w:val="center"/>
          </w:tcPr>
          <w:p w14:paraId="32E7604B" w14:textId="56DA4094" w:rsidR="00F04519" w:rsidRPr="00EB6AE0" w:rsidRDefault="00F04519" w:rsidP="00F04519">
            <w:pPr>
              <w:spacing w:line="276" w:lineRule="auto"/>
              <w:jc w:val="right"/>
              <w:rPr>
                <w:i/>
                <w:color w:val="000000"/>
                <w:u w:val="single"/>
              </w:rPr>
            </w:pPr>
            <w:r w:rsidRPr="00EB6AE0">
              <w:rPr>
                <w:i/>
                <w:color w:val="000000"/>
                <w:u w:val="single"/>
              </w:rPr>
              <w:t xml:space="preserve"> </w:t>
            </w:r>
            <w:r w:rsidR="00B4714A" w:rsidRPr="00EB6AE0">
              <w:rPr>
                <w:i/>
                <w:color w:val="000000"/>
                <w:u w:val="single"/>
              </w:rPr>
              <w:t>507,280.53</w:t>
            </w:r>
          </w:p>
        </w:tc>
        <w:tc>
          <w:tcPr>
            <w:tcW w:w="1712" w:type="dxa"/>
            <w:tcBorders>
              <w:top w:val="nil"/>
              <w:left w:val="nil"/>
              <w:right w:val="nil"/>
            </w:tcBorders>
            <w:vAlign w:val="center"/>
          </w:tcPr>
          <w:p w14:paraId="1D95F2BF" w14:textId="170003C2" w:rsidR="00F04519" w:rsidRPr="00EB6AE0" w:rsidRDefault="00F04519" w:rsidP="00F04519">
            <w:pPr>
              <w:spacing w:line="276" w:lineRule="auto"/>
              <w:jc w:val="right"/>
              <w:rPr>
                <w:i/>
                <w:color w:val="000000"/>
                <w:u w:val="single"/>
              </w:rPr>
            </w:pPr>
            <w:r w:rsidRPr="00EB6AE0">
              <w:rPr>
                <w:i/>
                <w:color w:val="000000"/>
                <w:u w:val="single"/>
              </w:rPr>
              <w:t xml:space="preserve"> 1,148,354.57</w:t>
            </w:r>
          </w:p>
        </w:tc>
        <w:tc>
          <w:tcPr>
            <w:tcW w:w="1712" w:type="dxa"/>
            <w:tcBorders>
              <w:top w:val="nil"/>
              <w:left w:val="nil"/>
              <w:right w:val="nil"/>
            </w:tcBorders>
            <w:shd w:val="clear" w:color="auto" w:fill="auto"/>
            <w:noWrap/>
            <w:vAlign w:val="center"/>
          </w:tcPr>
          <w:p w14:paraId="32E7604C" w14:textId="711D7A71" w:rsidR="00F04519" w:rsidRPr="00EB6AE0" w:rsidRDefault="00F04519" w:rsidP="00F04519">
            <w:pPr>
              <w:spacing w:line="276" w:lineRule="auto"/>
              <w:jc w:val="right"/>
              <w:rPr>
                <w:i/>
                <w:color w:val="000000"/>
                <w:u w:val="single"/>
              </w:rPr>
            </w:pPr>
          </w:p>
        </w:tc>
      </w:tr>
      <w:tr w:rsidR="00F04519" w:rsidRPr="00976E40" w14:paraId="32E76051" w14:textId="77777777" w:rsidTr="00F04519">
        <w:trPr>
          <w:trHeight w:val="317"/>
        </w:trPr>
        <w:tc>
          <w:tcPr>
            <w:tcW w:w="4900" w:type="dxa"/>
            <w:tcBorders>
              <w:top w:val="nil"/>
              <w:left w:val="nil"/>
              <w:bottom w:val="nil"/>
              <w:right w:val="nil"/>
            </w:tcBorders>
            <w:shd w:val="clear" w:color="auto" w:fill="auto"/>
            <w:noWrap/>
            <w:vAlign w:val="center"/>
            <w:hideMark/>
          </w:tcPr>
          <w:p w14:paraId="32E7604E" w14:textId="3A388B49" w:rsidR="00F04519" w:rsidRPr="00EB6AE0" w:rsidRDefault="00F04519" w:rsidP="00F04519">
            <w:pPr>
              <w:spacing w:line="276" w:lineRule="auto"/>
              <w:rPr>
                <w:i/>
                <w:color w:val="000000"/>
                <w:lang w:eastAsia="es-ES"/>
              </w:rPr>
            </w:pPr>
            <w:proofErr w:type="gramStart"/>
            <w:r w:rsidRPr="00EB6AE0">
              <w:rPr>
                <w:b/>
                <w:bCs/>
                <w:i/>
                <w:color w:val="000000"/>
                <w:lang w:eastAsia="es-ES"/>
              </w:rPr>
              <w:t>Total</w:t>
            </w:r>
            <w:proofErr w:type="gramEnd"/>
            <w:r w:rsidRPr="00EB6AE0">
              <w:rPr>
                <w:b/>
                <w:bCs/>
                <w:i/>
                <w:color w:val="000000"/>
                <w:lang w:eastAsia="es-ES"/>
              </w:rPr>
              <w:t xml:space="preserve"> </w:t>
            </w:r>
            <w:r w:rsidR="00EB6AE0" w:rsidRPr="00EB6AE0">
              <w:rPr>
                <w:b/>
                <w:bCs/>
                <w:i/>
                <w:color w:val="000000"/>
                <w:lang w:eastAsia="es-ES"/>
              </w:rPr>
              <w:t>Cuentas</w:t>
            </w:r>
            <w:r w:rsidRPr="00EB6AE0">
              <w:rPr>
                <w:b/>
                <w:bCs/>
                <w:i/>
                <w:color w:val="000000"/>
                <w:lang w:eastAsia="es-ES"/>
              </w:rPr>
              <w:t xml:space="preserve"> por Pagar</w:t>
            </w:r>
          </w:p>
        </w:tc>
        <w:tc>
          <w:tcPr>
            <w:tcW w:w="1756" w:type="dxa"/>
            <w:tcBorders>
              <w:left w:val="nil"/>
              <w:bottom w:val="nil"/>
              <w:right w:val="nil"/>
            </w:tcBorders>
            <w:shd w:val="clear" w:color="auto" w:fill="auto"/>
            <w:noWrap/>
            <w:vAlign w:val="center"/>
            <w:hideMark/>
          </w:tcPr>
          <w:p w14:paraId="32E7604F" w14:textId="0370FFF6" w:rsidR="00F04519" w:rsidRPr="00EB6AE0" w:rsidRDefault="00F04519" w:rsidP="00F04519">
            <w:pPr>
              <w:spacing w:line="276" w:lineRule="auto"/>
              <w:jc w:val="right"/>
              <w:rPr>
                <w:i/>
                <w:color w:val="000000"/>
                <w:u w:val="double"/>
              </w:rPr>
            </w:pPr>
            <w:r w:rsidRPr="00EB6AE0">
              <w:rPr>
                <w:b/>
                <w:i/>
                <w:color w:val="000000"/>
                <w:u w:val="double"/>
              </w:rPr>
              <w:t xml:space="preserve">  </w:t>
            </w:r>
            <w:r w:rsidR="00B4714A" w:rsidRPr="00EB6AE0">
              <w:rPr>
                <w:b/>
                <w:i/>
                <w:color w:val="000000"/>
                <w:u w:val="double"/>
              </w:rPr>
              <w:t>507,</w:t>
            </w:r>
            <w:r w:rsidR="0090506B" w:rsidRPr="00EB6AE0">
              <w:rPr>
                <w:b/>
                <w:i/>
                <w:color w:val="000000"/>
                <w:u w:val="double"/>
              </w:rPr>
              <w:t>280.53</w:t>
            </w:r>
          </w:p>
        </w:tc>
        <w:tc>
          <w:tcPr>
            <w:tcW w:w="1712" w:type="dxa"/>
            <w:tcBorders>
              <w:left w:val="nil"/>
              <w:bottom w:val="nil"/>
              <w:right w:val="nil"/>
            </w:tcBorders>
            <w:vAlign w:val="center"/>
          </w:tcPr>
          <w:p w14:paraId="257F94C9" w14:textId="769CDB87" w:rsidR="00F04519" w:rsidRPr="00C9557E" w:rsidRDefault="00F04519" w:rsidP="00F04519">
            <w:pPr>
              <w:spacing w:line="276" w:lineRule="auto"/>
              <w:jc w:val="right"/>
              <w:rPr>
                <w:b/>
                <w:bCs/>
                <w:i/>
                <w:color w:val="000000"/>
                <w:u w:val="double"/>
              </w:rPr>
            </w:pPr>
            <w:r w:rsidRPr="00EB6AE0">
              <w:rPr>
                <w:b/>
                <w:i/>
                <w:color w:val="000000"/>
                <w:u w:val="double"/>
              </w:rPr>
              <w:t xml:space="preserve">  1,414,205.67</w:t>
            </w:r>
          </w:p>
        </w:tc>
        <w:tc>
          <w:tcPr>
            <w:tcW w:w="1712" w:type="dxa"/>
            <w:tcBorders>
              <w:left w:val="nil"/>
              <w:bottom w:val="nil"/>
              <w:right w:val="nil"/>
            </w:tcBorders>
            <w:shd w:val="clear" w:color="auto" w:fill="auto"/>
            <w:noWrap/>
            <w:vAlign w:val="center"/>
          </w:tcPr>
          <w:p w14:paraId="32E76050" w14:textId="12EF2A2E" w:rsidR="00F04519" w:rsidRPr="00976E40" w:rsidRDefault="00F04519" w:rsidP="00F04519">
            <w:pPr>
              <w:spacing w:line="276" w:lineRule="auto"/>
              <w:jc w:val="right"/>
              <w:rPr>
                <w:i/>
                <w:color w:val="000000"/>
                <w:u w:val="double"/>
              </w:rPr>
            </w:pPr>
          </w:p>
        </w:tc>
      </w:tr>
    </w:tbl>
    <w:p w14:paraId="32E76052" w14:textId="77777777" w:rsidR="009D3259" w:rsidRDefault="009D3259" w:rsidP="002B0864">
      <w:pPr>
        <w:spacing w:line="276" w:lineRule="auto"/>
        <w:rPr>
          <w:b/>
          <w:i/>
          <w:sz w:val="28"/>
          <w:lang w:eastAsia="es-ES"/>
        </w:rPr>
      </w:pPr>
    </w:p>
    <w:p w14:paraId="32E76053" w14:textId="40308056" w:rsidR="002B0864" w:rsidRPr="00164113" w:rsidRDefault="002B0864" w:rsidP="002B0864">
      <w:pPr>
        <w:spacing w:line="276" w:lineRule="auto"/>
        <w:rPr>
          <w:b/>
          <w:i/>
          <w:sz w:val="28"/>
          <w:lang w:eastAsia="es-ES"/>
        </w:rPr>
      </w:pPr>
      <w:r w:rsidRPr="00164113">
        <w:rPr>
          <w:b/>
          <w:i/>
          <w:sz w:val="28"/>
          <w:lang w:eastAsia="es-ES"/>
        </w:rPr>
        <w:t xml:space="preserve">Nota </w:t>
      </w:r>
      <w:r w:rsidR="00E225BC" w:rsidRPr="00164113">
        <w:rPr>
          <w:b/>
          <w:i/>
          <w:sz w:val="28"/>
          <w:lang w:eastAsia="es-ES"/>
        </w:rPr>
        <w:t>1</w:t>
      </w:r>
      <w:r w:rsidR="001A7303">
        <w:rPr>
          <w:b/>
          <w:i/>
          <w:sz w:val="28"/>
          <w:lang w:eastAsia="es-ES"/>
        </w:rPr>
        <w:t>4</w:t>
      </w:r>
      <w:r w:rsidRPr="00164113">
        <w:rPr>
          <w:b/>
          <w:i/>
          <w:sz w:val="28"/>
          <w:lang w:eastAsia="es-ES"/>
        </w:rPr>
        <w:t xml:space="preserve"> Retenciones y </w:t>
      </w:r>
      <w:r w:rsidR="006C1822">
        <w:rPr>
          <w:b/>
          <w:i/>
          <w:sz w:val="28"/>
          <w:lang w:eastAsia="es-ES"/>
        </w:rPr>
        <w:t>A</w:t>
      </w:r>
      <w:r w:rsidRPr="00164113">
        <w:rPr>
          <w:b/>
          <w:i/>
          <w:sz w:val="28"/>
          <w:lang w:eastAsia="es-ES"/>
        </w:rPr>
        <w:t>cumulaciones por pagar</w:t>
      </w:r>
    </w:p>
    <w:p w14:paraId="32E76054" w14:textId="09DC6C94" w:rsidR="00757DA1" w:rsidRPr="00164113" w:rsidRDefault="00757DA1" w:rsidP="00757DA1">
      <w:pPr>
        <w:spacing w:line="360" w:lineRule="auto"/>
        <w:jc w:val="both"/>
        <w:rPr>
          <w:i/>
        </w:rPr>
      </w:pPr>
      <w:r w:rsidRPr="00164113">
        <w:rPr>
          <w:bCs/>
          <w:i/>
          <w:lang w:eastAsia="es-ES"/>
        </w:rPr>
        <w:t xml:space="preserve">Al 31 de Diciembre </w:t>
      </w:r>
      <w:r w:rsidRPr="00164113">
        <w:rPr>
          <w:rStyle w:val="CarCar"/>
          <w:rFonts w:ascii="Times New Roman" w:hAnsi="Times New Roman" w:cs="Times New Roman"/>
          <w:b w:val="0"/>
          <w:i/>
          <w:sz w:val="24"/>
        </w:rPr>
        <w:t xml:space="preserve">del corriente año presenta </w:t>
      </w:r>
      <w:r w:rsidRPr="00164113">
        <w:rPr>
          <w:i/>
        </w:rPr>
        <w:t>balance de RD$</w:t>
      </w:r>
      <w:r w:rsidR="00A65BBE" w:rsidRPr="00164113">
        <w:rPr>
          <w:i/>
        </w:rPr>
        <w:t>14,895,282.93</w:t>
      </w:r>
      <w:proofErr w:type="gramStart"/>
      <w:r w:rsidRPr="00164113">
        <w:rPr>
          <w:i/>
          <w:color w:val="000000"/>
        </w:rPr>
        <w:t xml:space="preserve">,  </w:t>
      </w:r>
      <w:r w:rsidRPr="00164113">
        <w:rPr>
          <w:i/>
        </w:rPr>
        <w:t>mientras</w:t>
      </w:r>
      <w:proofErr w:type="gramEnd"/>
      <w:r w:rsidRPr="00164113">
        <w:rPr>
          <w:i/>
        </w:rPr>
        <w:t xml:space="preserve"> que para el mismo período del 20</w:t>
      </w:r>
      <w:r w:rsidR="00CA46D7" w:rsidRPr="00164113">
        <w:rPr>
          <w:i/>
        </w:rPr>
        <w:t>2</w:t>
      </w:r>
      <w:r w:rsidR="004B0A9D" w:rsidRPr="00164113">
        <w:rPr>
          <w:i/>
        </w:rPr>
        <w:t>1</w:t>
      </w:r>
      <w:r w:rsidRPr="00164113">
        <w:rPr>
          <w:i/>
        </w:rPr>
        <w:t xml:space="preserve"> </w:t>
      </w:r>
      <w:r w:rsidRPr="00164113">
        <w:rPr>
          <w:rStyle w:val="CarCar"/>
          <w:rFonts w:ascii="Times New Roman" w:hAnsi="Times New Roman" w:cs="Times New Roman"/>
          <w:b w:val="0"/>
          <w:i/>
          <w:sz w:val="24"/>
        </w:rPr>
        <w:t xml:space="preserve">presenta </w:t>
      </w:r>
      <w:r w:rsidRPr="00164113">
        <w:rPr>
          <w:i/>
        </w:rPr>
        <w:t>balance de RD$</w:t>
      </w:r>
      <w:r w:rsidR="00A65BBE" w:rsidRPr="00164113">
        <w:rPr>
          <w:i/>
        </w:rPr>
        <w:t>13,730,751.05</w:t>
      </w:r>
      <w:r w:rsidRPr="00164113">
        <w:rPr>
          <w:i/>
        </w:rPr>
        <w:t>, según el siguiente detalle:</w:t>
      </w:r>
    </w:p>
    <w:p w14:paraId="32E76055" w14:textId="0D5928DF" w:rsidR="00757DA1" w:rsidRPr="00164113" w:rsidRDefault="00757DA1" w:rsidP="00757DA1">
      <w:pPr>
        <w:spacing w:line="360" w:lineRule="auto"/>
        <w:rPr>
          <w:b/>
          <w:i/>
        </w:rPr>
      </w:pPr>
      <w:r w:rsidRPr="00164113">
        <w:rPr>
          <w:b/>
          <w:i/>
        </w:rPr>
        <w:t>Descripción</w:t>
      </w:r>
      <w:r w:rsidRPr="00164113">
        <w:rPr>
          <w:b/>
          <w:i/>
        </w:rPr>
        <w:tab/>
      </w:r>
      <w:r w:rsidRPr="00164113">
        <w:rPr>
          <w:b/>
          <w:i/>
        </w:rPr>
        <w:tab/>
      </w:r>
      <w:r w:rsidRPr="00164113">
        <w:rPr>
          <w:b/>
          <w:i/>
        </w:rPr>
        <w:tab/>
      </w:r>
      <w:r w:rsidRPr="00164113">
        <w:rPr>
          <w:b/>
          <w:i/>
        </w:rPr>
        <w:tab/>
      </w:r>
      <w:r w:rsidRPr="00164113">
        <w:rPr>
          <w:b/>
          <w:i/>
        </w:rPr>
        <w:tab/>
      </w:r>
      <w:r w:rsidRPr="00164113">
        <w:rPr>
          <w:b/>
          <w:i/>
        </w:rPr>
        <w:tab/>
      </w:r>
      <w:r w:rsidRPr="00164113">
        <w:rPr>
          <w:b/>
          <w:i/>
        </w:rPr>
        <w:tab/>
      </w:r>
      <w:r w:rsidR="003E0715" w:rsidRPr="00164113">
        <w:rPr>
          <w:b/>
          <w:i/>
        </w:rPr>
        <w:t>2022</w:t>
      </w:r>
      <w:r w:rsidR="003E0715" w:rsidRPr="00164113">
        <w:rPr>
          <w:b/>
          <w:i/>
        </w:rPr>
        <w:tab/>
      </w:r>
      <w:r w:rsidR="003E0715" w:rsidRPr="00164113">
        <w:rPr>
          <w:b/>
          <w:i/>
        </w:rPr>
        <w:tab/>
        <w:t xml:space="preserve">    2021</w:t>
      </w:r>
    </w:p>
    <w:tbl>
      <w:tblPr>
        <w:tblW w:w="10080" w:type="dxa"/>
        <w:tblLook w:val="04A0" w:firstRow="1" w:lastRow="0" w:firstColumn="1" w:lastColumn="0" w:noHBand="0" w:noVBand="1"/>
      </w:tblPr>
      <w:tblGrid>
        <w:gridCol w:w="4900"/>
        <w:gridCol w:w="1756"/>
        <w:gridCol w:w="1712"/>
        <w:gridCol w:w="1712"/>
      </w:tblGrid>
      <w:tr w:rsidR="00513140" w:rsidRPr="00164113" w14:paraId="32E7605F" w14:textId="77777777" w:rsidTr="00513140">
        <w:trPr>
          <w:trHeight w:val="317"/>
        </w:trPr>
        <w:tc>
          <w:tcPr>
            <w:tcW w:w="4900" w:type="dxa"/>
            <w:tcBorders>
              <w:top w:val="nil"/>
              <w:left w:val="nil"/>
              <w:bottom w:val="nil"/>
              <w:right w:val="nil"/>
            </w:tcBorders>
            <w:shd w:val="clear" w:color="auto" w:fill="auto"/>
            <w:noWrap/>
            <w:vAlign w:val="center"/>
            <w:hideMark/>
          </w:tcPr>
          <w:p w14:paraId="32E76056" w14:textId="77777777" w:rsidR="00513140" w:rsidRPr="00164113" w:rsidRDefault="00513140" w:rsidP="00513140">
            <w:pPr>
              <w:spacing w:line="276" w:lineRule="auto"/>
              <w:rPr>
                <w:i/>
                <w:color w:val="000000"/>
                <w:lang w:eastAsia="es-ES"/>
              </w:rPr>
            </w:pPr>
            <w:r w:rsidRPr="00164113">
              <w:rPr>
                <w:i/>
                <w:color w:val="000000"/>
                <w:lang w:eastAsia="es-ES"/>
              </w:rPr>
              <w:t>Retención 10% por Honorarios</w:t>
            </w:r>
          </w:p>
          <w:p w14:paraId="32E76057" w14:textId="77777777" w:rsidR="00513140" w:rsidRPr="00164113" w:rsidRDefault="00513140" w:rsidP="00513140">
            <w:pPr>
              <w:spacing w:line="276" w:lineRule="auto"/>
              <w:rPr>
                <w:i/>
                <w:color w:val="000000"/>
                <w:lang w:eastAsia="es-ES"/>
              </w:rPr>
            </w:pPr>
            <w:r w:rsidRPr="00164113">
              <w:rPr>
                <w:i/>
                <w:color w:val="000000"/>
                <w:lang w:eastAsia="es-ES"/>
              </w:rPr>
              <w:t>Retención 5% Adquisición de Bienes y Servicios</w:t>
            </w:r>
          </w:p>
          <w:p w14:paraId="32E76058" w14:textId="77777777" w:rsidR="00513140" w:rsidRPr="00164113" w:rsidRDefault="00513140" w:rsidP="00513140">
            <w:pPr>
              <w:spacing w:line="276" w:lineRule="auto"/>
              <w:rPr>
                <w:i/>
                <w:color w:val="000000"/>
                <w:lang w:eastAsia="es-ES"/>
              </w:rPr>
            </w:pPr>
            <w:r w:rsidRPr="00164113">
              <w:rPr>
                <w:i/>
                <w:color w:val="000000"/>
                <w:lang w:eastAsia="es-ES"/>
              </w:rPr>
              <w:t>Retención Impuestos Sobre la Renta</w:t>
            </w:r>
          </w:p>
        </w:tc>
        <w:tc>
          <w:tcPr>
            <w:tcW w:w="1756" w:type="dxa"/>
            <w:tcBorders>
              <w:top w:val="nil"/>
              <w:left w:val="nil"/>
              <w:right w:val="nil"/>
            </w:tcBorders>
            <w:shd w:val="clear" w:color="auto" w:fill="auto"/>
            <w:noWrap/>
            <w:vAlign w:val="center"/>
            <w:hideMark/>
          </w:tcPr>
          <w:p w14:paraId="32E76059" w14:textId="5A73D97D" w:rsidR="00513140" w:rsidRPr="00164113" w:rsidRDefault="008D31E3" w:rsidP="00513140">
            <w:pPr>
              <w:spacing w:line="276" w:lineRule="auto"/>
              <w:jc w:val="right"/>
              <w:rPr>
                <w:i/>
                <w:color w:val="000000"/>
              </w:rPr>
            </w:pPr>
            <w:r w:rsidRPr="00164113">
              <w:rPr>
                <w:i/>
                <w:color w:val="000000"/>
              </w:rPr>
              <w:t>84,006.48</w:t>
            </w:r>
          </w:p>
          <w:p w14:paraId="32E7605A" w14:textId="25A44012" w:rsidR="00513140" w:rsidRPr="00164113" w:rsidRDefault="008D31E3" w:rsidP="00513140">
            <w:pPr>
              <w:spacing w:line="276" w:lineRule="auto"/>
              <w:jc w:val="right"/>
              <w:rPr>
                <w:i/>
                <w:color w:val="000000"/>
              </w:rPr>
            </w:pPr>
            <w:r w:rsidRPr="00164113">
              <w:rPr>
                <w:i/>
                <w:color w:val="000000"/>
              </w:rPr>
              <w:t>171,765.17</w:t>
            </w:r>
          </w:p>
          <w:p w14:paraId="32E7605B" w14:textId="72C5B49E" w:rsidR="00513140" w:rsidRPr="00164113" w:rsidRDefault="00093B2B" w:rsidP="00513140">
            <w:pPr>
              <w:spacing w:line="276" w:lineRule="auto"/>
              <w:jc w:val="right"/>
              <w:rPr>
                <w:i/>
                <w:color w:val="000000"/>
              </w:rPr>
            </w:pPr>
            <w:r w:rsidRPr="00164113">
              <w:rPr>
                <w:i/>
                <w:color w:val="000000"/>
              </w:rPr>
              <w:t>14,563,</w:t>
            </w:r>
            <w:r w:rsidR="00A41D80" w:rsidRPr="00164113">
              <w:rPr>
                <w:i/>
                <w:color w:val="000000"/>
              </w:rPr>
              <w:t>956.27</w:t>
            </w:r>
          </w:p>
        </w:tc>
        <w:tc>
          <w:tcPr>
            <w:tcW w:w="1712" w:type="dxa"/>
            <w:tcBorders>
              <w:top w:val="nil"/>
              <w:left w:val="nil"/>
              <w:right w:val="nil"/>
            </w:tcBorders>
            <w:vAlign w:val="center"/>
          </w:tcPr>
          <w:p w14:paraId="270904ED" w14:textId="77777777" w:rsidR="00513140" w:rsidRPr="00164113" w:rsidRDefault="00513140" w:rsidP="00513140">
            <w:pPr>
              <w:spacing w:line="276" w:lineRule="auto"/>
              <w:jc w:val="right"/>
              <w:rPr>
                <w:i/>
                <w:color w:val="000000"/>
              </w:rPr>
            </w:pPr>
            <w:r w:rsidRPr="00164113">
              <w:rPr>
                <w:i/>
                <w:color w:val="000000"/>
              </w:rPr>
              <w:t>107,827.40</w:t>
            </w:r>
          </w:p>
          <w:p w14:paraId="200EC161" w14:textId="77777777" w:rsidR="00513140" w:rsidRPr="00164113" w:rsidRDefault="00513140" w:rsidP="00513140">
            <w:pPr>
              <w:spacing w:line="276" w:lineRule="auto"/>
              <w:jc w:val="right"/>
              <w:rPr>
                <w:i/>
                <w:color w:val="000000"/>
              </w:rPr>
            </w:pPr>
            <w:r w:rsidRPr="00164113">
              <w:rPr>
                <w:i/>
                <w:color w:val="000000"/>
              </w:rPr>
              <w:t>154,197.54</w:t>
            </w:r>
          </w:p>
          <w:p w14:paraId="37EE2CF7" w14:textId="711D7270" w:rsidR="00513140" w:rsidRPr="00164113" w:rsidRDefault="00513140" w:rsidP="00513140">
            <w:pPr>
              <w:spacing w:line="276" w:lineRule="auto"/>
              <w:jc w:val="right"/>
              <w:rPr>
                <w:i/>
                <w:color w:val="000000"/>
              </w:rPr>
            </w:pPr>
            <w:r w:rsidRPr="00164113">
              <w:rPr>
                <w:i/>
                <w:color w:val="000000"/>
              </w:rPr>
              <w:t>13,337,776.18</w:t>
            </w:r>
          </w:p>
        </w:tc>
        <w:tc>
          <w:tcPr>
            <w:tcW w:w="1712" w:type="dxa"/>
            <w:tcBorders>
              <w:top w:val="nil"/>
              <w:left w:val="nil"/>
              <w:bottom w:val="nil"/>
              <w:right w:val="nil"/>
            </w:tcBorders>
            <w:shd w:val="clear" w:color="auto" w:fill="auto"/>
            <w:noWrap/>
            <w:vAlign w:val="center"/>
          </w:tcPr>
          <w:p w14:paraId="32E7605E" w14:textId="17CD03A3" w:rsidR="00513140" w:rsidRPr="00164113" w:rsidRDefault="00513140" w:rsidP="00513140">
            <w:pPr>
              <w:spacing w:line="276" w:lineRule="auto"/>
              <w:jc w:val="right"/>
              <w:rPr>
                <w:i/>
                <w:color w:val="000000"/>
              </w:rPr>
            </w:pPr>
          </w:p>
        </w:tc>
      </w:tr>
      <w:tr w:rsidR="00513140" w:rsidRPr="00164113" w14:paraId="32E76063" w14:textId="77777777" w:rsidTr="00513140">
        <w:trPr>
          <w:trHeight w:val="317"/>
        </w:trPr>
        <w:tc>
          <w:tcPr>
            <w:tcW w:w="4900" w:type="dxa"/>
            <w:tcBorders>
              <w:top w:val="nil"/>
              <w:left w:val="nil"/>
              <w:bottom w:val="nil"/>
              <w:right w:val="nil"/>
            </w:tcBorders>
            <w:shd w:val="clear" w:color="auto" w:fill="auto"/>
            <w:noWrap/>
            <w:vAlign w:val="center"/>
            <w:hideMark/>
          </w:tcPr>
          <w:p w14:paraId="32E76060" w14:textId="77777777" w:rsidR="00513140" w:rsidRPr="00164113" w:rsidRDefault="00513140" w:rsidP="00513140">
            <w:pPr>
              <w:spacing w:line="276" w:lineRule="auto"/>
              <w:rPr>
                <w:i/>
                <w:color w:val="000000"/>
                <w:lang w:eastAsia="es-ES"/>
              </w:rPr>
            </w:pPr>
            <w:r w:rsidRPr="00164113">
              <w:rPr>
                <w:i/>
                <w:color w:val="000000"/>
                <w:lang w:eastAsia="es-ES"/>
              </w:rPr>
              <w:t>Retención 30% del 100</w:t>
            </w:r>
            <w:proofErr w:type="gramStart"/>
            <w:r w:rsidRPr="00164113">
              <w:rPr>
                <w:i/>
                <w:color w:val="000000"/>
                <w:lang w:eastAsia="es-ES"/>
              </w:rPr>
              <w:t>%  ITBIS</w:t>
            </w:r>
            <w:proofErr w:type="gramEnd"/>
          </w:p>
        </w:tc>
        <w:tc>
          <w:tcPr>
            <w:tcW w:w="1756" w:type="dxa"/>
            <w:tcBorders>
              <w:top w:val="nil"/>
              <w:left w:val="nil"/>
              <w:right w:val="nil"/>
            </w:tcBorders>
            <w:shd w:val="clear" w:color="auto" w:fill="auto"/>
            <w:noWrap/>
            <w:vAlign w:val="center"/>
            <w:hideMark/>
          </w:tcPr>
          <w:p w14:paraId="32E76061" w14:textId="5F337C40" w:rsidR="00513140" w:rsidRPr="00164113" w:rsidRDefault="00093B2B" w:rsidP="00513140">
            <w:pPr>
              <w:spacing w:line="276" w:lineRule="auto"/>
              <w:jc w:val="right"/>
              <w:rPr>
                <w:i/>
                <w:color w:val="000000"/>
              </w:rPr>
            </w:pPr>
            <w:r w:rsidRPr="00164113">
              <w:rPr>
                <w:i/>
                <w:color w:val="000000"/>
              </w:rPr>
              <w:t>31,970.28</w:t>
            </w:r>
          </w:p>
        </w:tc>
        <w:tc>
          <w:tcPr>
            <w:tcW w:w="1712" w:type="dxa"/>
            <w:tcBorders>
              <w:top w:val="nil"/>
              <w:left w:val="nil"/>
              <w:right w:val="nil"/>
            </w:tcBorders>
            <w:vAlign w:val="center"/>
          </w:tcPr>
          <w:p w14:paraId="49283401" w14:textId="11BC287A" w:rsidR="00513140" w:rsidRPr="00164113" w:rsidRDefault="00513140" w:rsidP="00513140">
            <w:pPr>
              <w:spacing w:line="276" w:lineRule="auto"/>
              <w:jc w:val="right"/>
              <w:rPr>
                <w:i/>
                <w:color w:val="000000"/>
              </w:rPr>
            </w:pPr>
            <w:r w:rsidRPr="00164113">
              <w:rPr>
                <w:i/>
                <w:color w:val="000000"/>
              </w:rPr>
              <w:t>53,487.66</w:t>
            </w:r>
          </w:p>
        </w:tc>
        <w:tc>
          <w:tcPr>
            <w:tcW w:w="1712" w:type="dxa"/>
            <w:tcBorders>
              <w:top w:val="nil"/>
              <w:left w:val="nil"/>
              <w:bottom w:val="nil"/>
              <w:right w:val="nil"/>
            </w:tcBorders>
            <w:shd w:val="clear" w:color="auto" w:fill="auto"/>
            <w:noWrap/>
            <w:vAlign w:val="center"/>
          </w:tcPr>
          <w:p w14:paraId="32E76062" w14:textId="2F1151C4" w:rsidR="00513140" w:rsidRPr="00164113" w:rsidRDefault="00513140" w:rsidP="00513140">
            <w:pPr>
              <w:spacing w:line="276" w:lineRule="auto"/>
              <w:jc w:val="right"/>
              <w:rPr>
                <w:i/>
                <w:color w:val="000000"/>
              </w:rPr>
            </w:pPr>
          </w:p>
        </w:tc>
      </w:tr>
      <w:tr w:rsidR="00513140" w:rsidRPr="00164113" w14:paraId="32E76067" w14:textId="77777777" w:rsidTr="00CB4783">
        <w:trPr>
          <w:trHeight w:val="317"/>
        </w:trPr>
        <w:tc>
          <w:tcPr>
            <w:tcW w:w="4900" w:type="dxa"/>
            <w:tcBorders>
              <w:top w:val="nil"/>
              <w:left w:val="nil"/>
              <w:bottom w:val="nil"/>
              <w:right w:val="nil"/>
            </w:tcBorders>
            <w:shd w:val="clear" w:color="auto" w:fill="auto"/>
            <w:noWrap/>
            <w:vAlign w:val="center"/>
          </w:tcPr>
          <w:p w14:paraId="32E76064" w14:textId="77777777" w:rsidR="00513140" w:rsidRPr="00164113" w:rsidRDefault="00513140" w:rsidP="00513140">
            <w:pPr>
              <w:spacing w:line="276" w:lineRule="auto"/>
              <w:rPr>
                <w:i/>
                <w:color w:val="000000"/>
                <w:lang w:eastAsia="es-ES"/>
              </w:rPr>
            </w:pPr>
            <w:proofErr w:type="gramStart"/>
            <w:r w:rsidRPr="00164113">
              <w:rPr>
                <w:i/>
                <w:color w:val="000000"/>
                <w:lang w:eastAsia="es-ES"/>
              </w:rPr>
              <w:t>Retención  ITBIS</w:t>
            </w:r>
            <w:proofErr w:type="gramEnd"/>
          </w:p>
        </w:tc>
        <w:tc>
          <w:tcPr>
            <w:tcW w:w="1756" w:type="dxa"/>
            <w:tcBorders>
              <w:top w:val="nil"/>
              <w:left w:val="nil"/>
              <w:right w:val="nil"/>
            </w:tcBorders>
            <w:shd w:val="clear" w:color="auto" w:fill="auto"/>
            <w:noWrap/>
            <w:vAlign w:val="center"/>
          </w:tcPr>
          <w:p w14:paraId="32E76065" w14:textId="505CDFF6" w:rsidR="00513140" w:rsidRPr="00164113" w:rsidRDefault="00513140" w:rsidP="00513140">
            <w:pPr>
              <w:spacing w:line="276" w:lineRule="auto"/>
              <w:jc w:val="right"/>
              <w:rPr>
                <w:i/>
                <w:color w:val="000000"/>
                <w:u w:val="single"/>
              </w:rPr>
            </w:pPr>
            <w:r w:rsidRPr="00164113">
              <w:rPr>
                <w:i/>
                <w:color w:val="000000"/>
                <w:u w:val="single"/>
              </w:rPr>
              <w:t xml:space="preserve">       </w:t>
            </w:r>
            <w:r w:rsidR="00521783" w:rsidRPr="00164113">
              <w:rPr>
                <w:i/>
                <w:color w:val="000000"/>
                <w:u w:val="single"/>
              </w:rPr>
              <w:t>43,951.12</w:t>
            </w:r>
          </w:p>
        </w:tc>
        <w:tc>
          <w:tcPr>
            <w:tcW w:w="1712" w:type="dxa"/>
            <w:tcBorders>
              <w:top w:val="nil"/>
              <w:left w:val="nil"/>
              <w:right w:val="nil"/>
            </w:tcBorders>
            <w:vAlign w:val="center"/>
          </w:tcPr>
          <w:p w14:paraId="14D790AD" w14:textId="7A699879" w:rsidR="00513140" w:rsidRPr="00164113" w:rsidRDefault="00513140" w:rsidP="00513140">
            <w:pPr>
              <w:spacing w:line="276" w:lineRule="auto"/>
              <w:jc w:val="right"/>
              <w:rPr>
                <w:i/>
                <w:color w:val="000000"/>
                <w:u w:val="single"/>
              </w:rPr>
            </w:pPr>
            <w:r w:rsidRPr="00164113">
              <w:rPr>
                <w:i/>
                <w:color w:val="000000"/>
                <w:u w:val="single"/>
              </w:rPr>
              <w:t xml:space="preserve">       77,462.27</w:t>
            </w:r>
          </w:p>
        </w:tc>
        <w:tc>
          <w:tcPr>
            <w:tcW w:w="1712" w:type="dxa"/>
            <w:tcBorders>
              <w:top w:val="nil"/>
              <w:left w:val="nil"/>
              <w:right w:val="nil"/>
            </w:tcBorders>
            <w:shd w:val="clear" w:color="auto" w:fill="auto"/>
            <w:noWrap/>
            <w:vAlign w:val="center"/>
          </w:tcPr>
          <w:p w14:paraId="32E76066" w14:textId="467AA5F8" w:rsidR="00513140" w:rsidRPr="00164113" w:rsidRDefault="00513140" w:rsidP="00513140">
            <w:pPr>
              <w:spacing w:line="276" w:lineRule="auto"/>
              <w:jc w:val="right"/>
              <w:rPr>
                <w:i/>
                <w:color w:val="000000"/>
                <w:u w:val="single"/>
              </w:rPr>
            </w:pPr>
          </w:p>
        </w:tc>
      </w:tr>
      <w:tr w:rsidR="00513140" w:rsidRPr="002E6615" w14:paraId="32E7606B" w14:textId="77777777" w:rsidTr="00513140">
        <w:trPr>
          <w:trHeight w:val="317"/>
        </w:trPr>
        <w:tc>
          <w:tcPr>
            <w:tcW w:w="4900" w:type="dxa"/>
            <w:tcBorders>
              <w:top w:val="nil"/>
              <w:left w:val="nil"/>
              <w:bottom w:val="nil"/>
              <w:right w:val="nil"/>
            </w:tcBorders>
            <w:shd w:val="clear" w:color="auto" w:fill="auto"/>
            <w:noWrap/>
            <w:vAlign w:val="center"/>
            <w:hideMark/>
          </w:tcPr>
          <w:p w14:paraId="32E76068" w14:textId="77777777" w:rsidR="00513140" w:rsidRPr="00164113" w:rsidRDefault="00513140" w:rsidP="00513140">
            <w:pPr>
              <w:spacing w:line="276" w:lineRule="auto"/>
              <w:rPr>
                <w:i/>
                <w:color w:val="000000"/>
                <w:lang w:eastAsia="es-ES"/>
              </w:rPr>
            </w:pPr>
            <w:proofErr w:type="gramStart"/>
            <w:r w:rsidRPr="00164113">
              <w:rPr>
                <w:b/>
                <w:bCs/>
                <w:i/>
                <w:color w:val="000000"/>
                <w:lang w:eastAsia="es-ES"/>
              </w:rPr>
              <w:t>Total</w:t>
            </w:r>
            <w:proofErr w:type="gramEnd"/>
            <w:r w:rsidRPr="00164113">
              <w:rPr>
                <w:b/>
                <w:bCs/>
                <w:i/>
                <w:color w:val="000000"/>
                <w:lang w:eastAsia="es-ES"/>
              </w:rPr>
              <w:t xml:space="preserve"> Deducciones y Retenciones por Pagar</w:t>
            </w:r>
          </w:p>
        </w:tc>
        <w:tc>
          <w:tcPr>
            <w:tcW w:w="1756" w:type="dxa"/>
            <w:tcBorders>
              <w:left w:val="nil"/>
              <w:right w:val="nil"/>
            </w:tcBorders>
            <w:shd w:val="clear" w:color="auto" w:fill="auto"/>
            <w:noWrap/>
            <w:vAlign w:val="center"/>
            <w:hideMark/>
          </w:tcPr>
          <w:p w14:paraId="32E76069" w14:textId="5CB0C45D" w:rsidR="00513140" w:rsidRPr="00164113" w:rsidRDefault="00A46C34" w:rsidP="00513140">
            <w:pPr>
              <w:spacing w:line="276" w:lineRule="auto"/>
              <w:jc w:val="right"/>
              <w:rPr>
                <w:i/>
                <w:color w:val="000000"/>
                <w:u w:val="double"/>
              </w:rPr>
            </w:pPr>
            <w:bookmarkStart w:id="140" w:name="_Hlk123830379"/>
            <w:r w:rsidRPr="00164113">
              <w:rPr>
                <w:b/>
                <w:i/>
                <w:color w:val="000000"/>
                <w:u w:val="double"/>
              </w:rPr>
              <w:t>14,895,</w:t>
            </w:r>
            <w:bookmarkEnd w:id="140"/>
            <w:r w:rsidR="00EB19BE" w:rsidRPr="00164113">
              <w:rPr>
                <w:b/>
                <w:i/>
                <w:color w:val="000000"/>
                <w:u w:val="double"/>
              </w:rPr>
              <w:t>649</w:t>
            </w:r>
            <w:r w:rsidR="000C1F11" w:rsidRPr="00164113">
              <w:rPr>
                <w:b/>
                <w:i/>
                <w:color w:val="000000"/>
                <w:u w:val="double"/>
              </w:rPr>
              <w:t>.32</w:t>
            </w:r>
          </w:p>
        </w:tc>
        <w:tc>
          <w:tcPr>
            <w:tcW w:w="1712" w:type="dxa"/>
            <w:tcBorders>
              <w:left w:val="nil"/>
              <w:right w:val="nil"/>
            </w:tcBorders>
            <w:vAlign w:val="center"/>
          </w:tcPr>
          <w:p w14:paraId="02BD0873" w14:textId="63A5A09E" w:rsidR="00513140" w:rsidRPr="00C9557E" w:rsidRDefault="00513140" w:rsidP="00513140">
            <w:pPr>
              <w:spacing w:line="276" w:lineRule="auto"/>
              <w:jc w:val="right"/>
              <w:rPr>
                <w:b/>
                <w:bCs/>
                <w:i/>
                <w:color w:val="000000"/>
                <w:u w:val="double"/>
              </w:rPr>
            </w:pPr>
            <w:r w:rsidRPr="00164113">
              <w:rPr>
                <w:b/>
                <w:i/>
                <w:color w:val="000000"/>
                <w:u w:val="double"/>
              </w:rPr>
              <w:t xml:space="preserve"> 13,730,751.05</w:t>
            </w:r>
          </w:p>
        </w:tc>
        <w:tc>
          <w:tcPr>
            <w:tcW w:w="1712" w:type="dxa"/>
            <w:tcBorders>
              <w:left w:val="nil"/>
              <w:right w:val="nil"/>
            </w:tcBorders>
            <w:shd w:val="clear" w:color="auto" w:fill="auto"/>
            <w:noWrap/>
            <w:vAlign w:val="center"/>
          </w:tcPr>
          <w:p w14:paraId="32E7606A" w14:textId="6A3DE5CC" w:rsidR="00513140" w:rsidRPr="003E5DBC" w:rsidRDefault="00513140" w:rsidP="00513140">
            <w:pPr>
              <w:spacing w:line="276" w:lineRule="auto"/>
              <w:jc w:val="right"/>
              <w:rPr>
                <w:i/>
                <w:color w:val="000000"/>
                <w:u w:val="double"/>
              </w:rPr>
            </w:pPr>
          </w:p>
        </w:tc>
      </w:tr>
    </w:tbl>
    <w:p w14:paraId="32E7606C" w14:textId="77777777" w:rsidR="00757DA1" w:rsidRPr="00000C1D" w:rsidRDefault="00757DA1" w:rsidP="00757DA1">
      <w:pPr>
        <w:spacing w:line="276" w:lineRule="auto"/>
        <w:rPr>
          <w:b/>
          <w:i/>
          <w:sz w:val="22"/>
          <w:lang w:eastAsia="es-ES"/>
        </w:rPr>
      </w:pPr>
    </w:p>
    <w:p w14:paraId="0B476D00" w14:textId="77777777" w:rsidR="003E6086" w:rsidRDefault="003E6086" w:rsidP="00757DA1">
      <w:pPr>
        <w:spacing w:line="360" w:lineRule="auto"/>
        <w:jc w:val="both"/>
        <w:rPr>
          <w:b/>
          <w:i/>
          <w:sz w:val="28"/>
          <w:lang w:eastAsia="es-ES"/>
        </w:rPr>
      </w:pPr>
    </w:p>
    <w:p w14:paraId="32E7606D" w14:textId="79B5E42D" w:rsidR="001C21C2" w:rsidRPr="00C47E91" w:rsidRDefault="001C21C2" w:rsidP="00757DA1">
      <w:pPr>
        <w:spacing w:line="360" w:lineRule="auto"/>
        <w:jc w:val="both"/>
        <w:rPr>
          <w:b/>
          <w:i/>
          <w:sz w:val="28"/>
          <w:lang w:eastAsia="es-ES"/>
        </w:rPr>
      </w:pPr>
      <w:r w:rsidRPr="00C47E91">
        <w:rPr>
          <w:b/>
          <w:i/>
          <w:sz w:val="28"/>
          <w:lang w:eastAsia="es-ES"/>
        </w:rPr>
        <w:t>Nota 1</w:t>
      </w:r>
      <w:r w:rsidR="001A7303">
        <w:rPr>
          <w:b/>
          <w:i/>
          <w:sz w:val="28"/>
          <w:lang w:eastAsia="es-ES"/>
        </w:rPr>
        <w:t>5</w:t>
      </w:r>
      <w:r w:rsidRPr="00C47E91">
        <w:rPr>
          <w:b/>
          <w:i/>
          <w:sz w:val="28"/>
          <w:lang w:eastAsia="es-ES"/>
        </w:rPr>
        <w:t xml:space="preserve"> Provisiones </w:t>
      </w:r>
      <w:r w:rsidR="00BD36D6" w:rsidRPr="00C47E91">
        <w:rPr>
          <w:b/>
          <w:i/>
          <w:sz w:val="28"/>
          <w:lang w:eastAsia="es-ES"/>
        </w:rPr>
        <w:t>y otr</w:t>
      </w:r>
      <w:r w:rsidR="00483DA2">
        <w:rPr>
          <w:b/>
          <w:i/>
          <w:sz w:val="28"/>
          <w:lang w:eastAsia="es-ES"/>
        </w:rPr>
        <w:t>a</w:t>
      </w:r>
      <w:r w:rsidR="00BD36D6" w:rsidRPr="00C47E91">
        <w:rPr>
          <w:b/>
          <w:i/>
          <w:sz w:val="28"/>
          <w:lang w:eastAsia="es-ES"/>
        </w:rPr>
        <w:t xml:space="preserve">s </w:t>
      </w:r>
      <w:r w:rsidR="00624A09">
        <w:rPr>
          <w:b/>
          <w:i/>
          <w:sz w:val="28"/>
          <w:lang w:eastAsia="es-ES"/>
        </w:rPr>
        <w:t>Cuentas por Pagar a</w:t>
      </w:r>
      <w:r w:rsidRPr="00C47E91">
        <w:rPr>
          <w:b/>
          <w:i/>
          <w:sz w:val="28"/>
          <w:lang w:eastAsia="es-ES"/>
        </w:rPr>
        <w:t xml:space="preserve"> corto plazo</w:t>
      </w:r>
    </w:p>
    <w:p w14:paraId="32E7606E" w14:textId="6894191B" w:rsidR="00757DA1" w:rsidRPr="00C47E91" w:rsidRDefault="00757DA1" w:rsidP="00757DA1">
      <w:pPr>
        <w:spacing w:line="360" w:lineRule="auto"/>
        <w:jc w:val="both"/>
        <w:rPr>
          <w:bCs/>
          <w:i/>
          <w:lang w:eastAsia="es-ES"/>
        </w:rPr>
      </w:pPr>
      <w:r w:rsidRPr="00C47E91">
        <w:rPr>
          <w:bCs/>
          <w:i/>
          <w:lang w:eastAsia="es-ES"/>
        </w:rPr>
        <w:t xml:space="preserve">Al 31 de Diciembre </w:t>
      </w:r>
      <w:r w:rsidRPr="00C47E91">
        <w:rPr>
          <w:rStyle w:val="CarCar"/>
          <w:rFonts w:ascii="Times New Roman" w:hAnsi="Times New Roman" w:cs="Times New Roman"/>
          <w:b w:val="0"/>
          <w:i/>
          <w:sz w:val="24"/>
        </w:rPr>
        <w:t xml:space="preserve">de los </w:t>
      </w:r>
      <w:proofErr w:type="gramStart"/>
      <w:r w:rsidRPr="00C47E91">
        <w:rPr>
          <w:rStyle w:val="CarCar"/>
          <w:rFonts w:ascii="Times New Roman" w:hAnsi="Times New Roman" w:cs="Times New Roman"/>
          <w:b w:val="0"/>
          <w:i/>
          <w:sz w:val="24"/>
        </w:rPr>
        <w:t xml:space="preserve">años  </w:t>
      </w:r>
      <w:r w:rsidR="004B0A9D" w:rsidRPr="00C47E91">
        <w:rPr>
          <w:rStyle w:val="CarCar"/>
          <w:rFonts w:ascii="Times New Roman" w:hAnsi="Times New Roman" w:cs="Times New Roman"/>
          <w:b w:val="0"/>
          <w:i/>
          <w:sz w:val="24"/>
        </w:rPr>
        <w:t>2022</w:t>
      </w:r>
      <w:proofErr w:type="gramEnd"/>
      <w:r w:rsidR="004B0A9D" w:rsidRPr="00C47E91">
        <w:rPr>
          <w:rStyle w:val="CarCar"/>
          <w:rFonts w:ascii="Times New Roman" w:hAnsi="Times New Roman" w:cs="Times New Roman"/>
          <w:b w:val="0"/>
          <w:i/>
          <w:sz w:val="24"/>
        </w:rPr>
        <w:t xml:space="preserve">  y  2021</w:t>
      </w:r>
      <w:r w:rsidRPr="00C47E91">
        <w:rPr>
          <w:i/>
        </w:rPr>
        <w:t xml:space="preserve">, </w:t>
      </w:r>
      <w:r w:rsidRPr="00C47E91">
        <w:rPr>
          <w:bCs/>
          <w:i/>
          <w:lang w:eastAsia="es-ES"/>
        </w:rPr>
        <w:t>el total de Otras Cuentas por Pagar ascendieron a  RD$</w:t>
      </w:r>
      <w:r w:rsidR="000E6A5E" w:rsidRPr="00C47E91">
        <w:rPr>
          <w:bCs/>
          <w:i/>
          <w:lang w:eastAsia="es-ES"/>
        </w:rPr>
        <w:t>775,</w:t>
      </w:r>
      <w:r w:rsidR="00BD36D6" w:rsidRPr="00C47E91">
        <w:rPr>
          <w:bCs/>
          <w:i/>
          <w:lang w:eastAsia="es-ES"/>
        </w:rPr>
        <w:t>416.00</w:t>
      </w:r>
      <w:r w:rsidR="00CA46D7" w:rsidRPr="00C47E91">
        <w:rPr>
          <w:bCs/>
          <w:i/>
          <w:lang w:eastAsia="es-ES"/>
        </w:rPr>
        <w:t xml:space="preserve"> </w:t>
      </w:r>
      <w:r w:rsidRPr="00C47E91">
        <w:rPr>
          <w:bCs/>
          <w:i/>
          <w:lang w:eastAsia="es-ES"/>
        </w:rPr>
        <w:t>y RD$</w:t>
      </w:r>
      <w:r w:rsidR="000E6A5E" w:rsidRPr="00C47E91">
        <w:rPr>
          <w:bCs/>
          <w:i/>
          <w:lang w:eastAsia="es-ES"/>
        </w:rPr>
        <w:t xml:space="preserve">18,837,965.92 </w:t>
      </w:r>
      <w:r w:rsidRPr="00C47E91">
        <w:rPr>
          <w:bCs/>
          <w:i/>
          <w:lang w:eastAsia="es-ES"/>
        </w:rPr>
        <w:t>según el siguiente detalle:</w:t>
      </w:r>
    </w:p>
    <w:p w14:paraId="32E76070" w14:textId="7C0496BD" w:rsidR="00757DA1" w:rsidRPr="00C47E91" w:rsidRDefault="009D3259" w:rsidP="00757DA1">
      <w:pPr>
        <w:spacing w:line="360" w:lineRule="auto"/>
        <w:rPr>
          <w:b/>
          <w:i/>
        </w:rPr>
      </w:pPr>
      <w:r w:rsidRPr="00C47E91">
        <w:rPr>
          <w:b/>
          <w:i/>
        </w:rPr>
        <w:t>D</w:t>
      </w:r>
      <w:r w:rsidR="00757DA1" w:rsidRPr="00C47E91">
        <w:rPr>
          <w:b/>
          <w:i/>
        </w:rPr>
        <w:t>escripción</w:t>
      </w:r>
      <w:r w:rsidR="00757DA1" w:rsidRPr="00C47E91">
        <w:rPr>
          <w:b/>
          <w:i/>
        </w:rPr>
        <w:tab/>
      </w:r>
      <w:r w:rsidR="00757DA1" w:rsidRPr="00C47E91">
        <w:rPr>
          <w:b/>
          <w:i/>
        </w:rPr>
        <w:tab/>
      </w:r>
      <w:r w:rsidR="00757DA1" w:rsidRPr="00C47E91">
        <w:rPr>
          <w:b/>
          <w:i/>
        </w:rPr>
        <w:tab/>
      </w:r>
      <w:r w:rsidR="00757DA1" w:rsidRPr="00C47E91">
        <w:rPr>
          <w:b/>
          <w:i/>
        </w:rPr>
        <w:tab/>
      </w:r>
      <w:r w:rsidR="00757DA1" w:rsidRPr="00C47E91">
        <w:rPr>
          <w:b/>
          <w:i/>
        </w:rPr>
        <w:tab/>
      </w:r>
      <w:r w:rsidR="00757DA1" w:rsidRPr="00C47E91">
        <w:rPr>
          <w:b/>
          <w:i/>
        </w:rPr>
        <w:tab/>
        <w:t xml:space="preserve"> </w:t>
      </w:r>
      <w:r w:rsidR="00757DA1" w:rsidRPr="00C47E91">
        <w:rPr>
          <w:b/>
          <w:i/>
        </w:rPr>
        <w:tab/>
      </w:r>
      <w:r w:rsidR="003E0715" w:rsidRPr="00C47E91">
        <w:rPr>
          <w:b/>
          <w:i/>
        </w:rPr>
        <w:t>2022</w:t>
      </w:r>
      <w:r w:rsidR="003E0715" w:rsidRPr="00C47E91">
        <w:rPr>
          <w:b/>
          <w:i/>
        </w:rPr>
        <w:tab/>
      </w:r>
      <w:r w:rsidR="003E0715" w:rsidRPr="00C47E91">
        <w:rPr>
          <w:b/>
          <w:i/>
        </w:rPr>
        <w:tab/>
        <w:t xml:space="preserve">    2021</w:t>
      </w:r>
    </w:p>
    <w:tbl>
      <w:tblPr>
        <w:tblW w:w="9934" w:type="dxa"/>
        <w:tblInd w:w="93" w:type="dxa"/>
        <w:tblLook w:val="04A0" w:firstRow="1" w:lastRow="0" w:firstColumn="1" w:lastColumn="0" w:noHBand="0" w:noVBand="1"/>
      </w:tblPr>
      <w:tblGrid>
        <w:gridCol w:w="4944"/>
        <w:gridCol w:w="1596"/>
        <w:gridCol w:w="1697"/>
        <w:gridCol w:w="1697"/>
      </w:tblGrid>
      <w:tr w:rsidR="000F5CD2" w:rsidRPr="00C47E91" w14:paraId="32E76074" w14:textId="77777777" w:rsidTr="000F5CD2">
        <w:trPr>
          <w:trHeight w:val="315"/>
        </w:trPr>
        <w:tc>
          <w:tcPr>
            <w:tcW w:w="4944" w:type="dxa"/>
            <w:tcBorders>
              <w:top w:val="nil"/>
              <w:left w:val="nil"/>
              <w:bottom w:val="nil"/>
              <w:right w:val="nil"/>
            </w:tcBorders>
            <w:shd w:val="clear" w:color="auto" w:fill="auto"/>
            <w:noWrap/>
            <w:vAlign w:val="center"/>
            <w:hideMark/>
          </w:tcPr>
          <w:p w14:paraId="32E76071" w14:textId="77777777" w:rsidR="000F5CD2" w:rsidRPr="00C47E91" w:rsidRDefault="000F5CD2" w:rsidP="000F5CD2">
            <w:pPr>
              <w:rPr>
                <w:i/>
                <w:color w:val="000000"/>
              </w:rPr>
            </w:pPr>
            <w:r w:rsidRPr="00C47E91">
              <w:rPr>
                <w:i/>
                <w:color w:val="000000"/>
              </w:rPr>
              <w:t>Provisión para Prestaciones Económicas</w:t>
            </w:r>
          </w:p>
        </w:tc>
        <w:tc>
          <w:tcPr>
            <w:tcW w:w="1596" w:type="dxa"/>
            <w:tcBorders>
              <w:top w:val="nil"/>
              <w:left w:val="nil"/>
              <w:bottom w:val="nil"/>
              <w:right w:val="nil"/>
            </w:tcBorders>
            <w:shd w:val="clear" w:color="auto" w:fill="auto"/>
            <w:noWrap/>
            <w:vAlign w:val="center"/>
            <w:hideMark/>
          </w:tcPr>
          <w:p w14:paraId="32E76072" w14:textId="3443B231" w:rsidR="000F5CD2" w:rsidRPr="00C47E91" w:rsidRDefault="000F5CD2" w:rsidP="000F5CD2">
            <w:pPr>
              <w:jc w:val="right"/>
              <w:rPr>
                <w:i/>
                <w:color w:val="000000"/>
              </w:rPr>
            </w:pPr>
            <w:r w:rsidRPr="00C47E91">
              <w:rPr>
                <w:i/>
                <w:color w:val="000000"/>
              </w:rPr>
              <w:t>0.00</w:t>
            </w:r>
          </w:p>
        </w:tc>
        <w:tc>
          <w:tcPr>
            <w:tcW w:w="1697" w:type="dxa"/>
            <w:tcBorders>
              <w:top w:val="nil"/>
              <w:left w:val="nil"/>
              <w:bottom w:val="nil"/>
              <w:right w:val="nil"/>
            </w:tcBorders>
            <w:vAlign w:val="center"/>
          </w:tcPr>
          <w:p w14:paraId="56338D51" w14:textId="7DA98976" w:rsidR="000F5CD2" w:rsidRPr="00C47E91" w:rsidRDefault="000F5CD2" w:rsidP="000F5CD2">
            <w:pPr>
              <w:jc w:val="right"/>
              <w:rPr>
                <w:i/>
              </w:rPr>
            </w:pPr>
            <w:r w:rsidRPr="00C47E91">
              <w:rPr>
                <w:i/>
                <w:color w:val="000000"/>
              </w:rPr>
              <w:t>18,079,369.92</w:t>
            </w:r>
          </w:p>
        </w:tc>
        <w:tc>
          <w:tcPr>
            <w:tcW w:w="1697" w:type="dxa"/>
            <w:tcBorders>
              <w:top w:val="nil"/>
              <w:left w:val="nil"/>
              <w:bottom w:val="nil"/>
              <w:right w:val="nil"/>
            </w:tcBorders>
            <w:shd w:val="clear" w:color="auto" w:fill="auto"/>
            <w:noWrap/>
          </w:tcPr>
          <w:p w14:paraId="32E76073" w14:textId="2A3AD042" w:rsidR="000F5CD2" w:rsidRPr="00C47E91" w:rsidRDefault="000F5CD2" w:rsidP="000F5CD2">
            <w:pPr>
              <w:jc w:val="right"/>
              <w:rPr>
                <w:i/>
              </w:rPr>
            </w:pPr>
          </w:p>
        </w:tc>
      </w:tr>
      <w:tr w:rsidR="000F5CD2" w:rsidRPr="00C47E91" w14:paraId="32E76078" w14:textId="77777777" w:rsidTr="00DC29DB">
        <w:trPr>
          <w:trHeight w:val="315"/>
        </w:trPr>
        <w:tc>
          <w:tcPr>
            <w:tcW w:w="4944" w:type="dxa"/>
            <w:tcBorders>
              <w:top w:val="nil"/>
              <w:left w:val="nil"/>
              <w:bottom w:val="nil"/>
              <w:right w:val="nil"/>
            </w:tcBorders>
            <w:shd w:val="clear" w:color="auto" w:fill="auto"/>
            <w:noWrap/>
            <w:vAlign w:val="center"/>
          </w:tcPr>
          <w:p w14:paraId="32E76075" w14:textId="77777777" w:rsidR="000F5CD2" w:rsidRPr="00C47E91" w:rsidRDefault="000F5CD2" w:rsidP="000F5CD2">
            <w:pPr>
              <w:rPr>
                <w:i/>
                <w:color w:val="000000"/>
              </w:rPr>
            </w:pPr>
            <w:r w:rsidRPr="00C47E91">
              <w:rPr>
                <w:i/>
                <w:color w:val="000000"/>
              </w:rPr>
              <w:t xml:space="preserve">Fondos de Terceros </w:t>
            </w:r>
            <w:proofErr w:type="spellStart"/>
            <w:r w:rsidRPr="00C47E91">
              <w:rPr>
                <w:i/>
                <w:color w:val="000000"/>
              </w:rPr>
              <w:t>CCRyLI</w:t>
            </w:r>
            <w:proofErr w:type="spellEnd"/>
          </w:p>
        </w:tc>
        <w:tc>
          <w:tcPr>
            <w:tcW w:w="1596" w:type="dxa"/>
            <w:tcBorders>
              <w:top w:val="nil"/>
              <w:left w:val="nil"/>
              <w:bottom w:val="nil"/>
              <w:right w:val="nil"/>
            </w:tcBorders>
            <w:shd w:val="clear" w:color="auto" w:fill="auto"/>
            <w:noWrap/>
            <w:vAlign w:val="center"/>
          </w:tcPr>
          <w:p w14:paraId="32E76076" w14:textId="34470765" w:rsidR="000F5CD2" w:rsidRPr="00C47E91" w:rsidRDefault="000F5CD2" w:rsidP="000F5CD2">
            <w:pPr>
              <w:jc w:val="right"/>
              <w:rPr>
                <w:i/>
                <w:color w:val="000000"/>
                <w:u w:val="single"/>
              </w:rPr>
            </w:pPr>
            <w:r w:rsidRPr="00C47E91">
              <w:rPr>
                <w:i/>
                <w:color w:val="000000"/>
                <w:u w:val="single"/>
              </w:rPr>
              <w:t xml:space="preserve">     </w:t>
            </w:r>
            <w:r w:rsidR="000E6A5E" w:rsidRPr="00C47E91">
              <w:rPr>
                <w:i/>
                <w:color w:val="000000"/>
                <w:u w:val="single"/>
              </w:rPr>
              <w:t>775,416.00</w:t>
            </w:r>
          </w:p>
        </w:tc>
        <w:tc>
          <w:tcPr>
            <w:tcW w:w="1697" w:type="dxa"/>
            <w:tcBorders>
              <w:top w:val="nil"/>
              <w:left w:val="nil"/>
              <w:bottom w:val="nil"/>
              <w:right w:val="nil"/>
            </w:tcBorders>
            <w:vAlign w:val="center"/>
          </w:tcPr>
          <w:p w14:paraId="09A091DD" w14:textId="6C0B630F" w:rsidR="000F5CD2" w:rsidRPr="00C47E91" w:rsidRDefault="000F5CD2" w:rsidP="000F5CD2">
            <w:pPr>
              <w:jc w:val="right"/>
              <w:rPr>
                <w:i/>
                <w:u w:val="single"/>
              </w:rPr>
            </w:pPr>
            <w:r w:rsidRPr="00C47E91">
              <w:rPr>
                <w:i/>
                <w:color w:val="000000"/>
                <w:u w:val="single"/>
              </w:rPr>
              <w:t xml:space="preserve">     758,596.00</w:t>
            </w:r>
          </w:p>
        </w:tc>
        <w:tc>
          <w:tcPr>
            <w:tcW w:w="1697" w:type="dxa"/>
            <w:tcBorders>
              <w:top w:val="nil"/>
              <w:left w:val="nil"/>
              <w:bottom w:val="nil"/>
              <w:right w:val="nil"/>
            </w:tcBorders>
            <w:shd w:val="clear" w:color="auto" w:fill="auto"/>
            <w:noWrap/>
          </w:tcPr>
          <w:p w14:paraId="32E76077" w14:textId="2D543996" w:rsidR="000F5CD2" w:rsidRPr="00C47E91" w:rsidRDefault="000F5CD2" w:rsidP="000F5CD2">
            <w:pPr>
              <w:jc w:val="right"/>
              <w:rPr>
                <w:i/>
                <w:u w:val="single"/>
              </w:rPr>
            </w:pPr>
          </w:p>
        </w:tc>
      </w:tr>
      <w:tr w:rsidR="000F5CD2" w:rsidRPr="00976E40" w14:paraId="32E7607C" w14:textId="77777777" w:rsidTr="000F5CD2">
        <w:trPr>
          <w:trHeight w:val="315"/>
        </w:trPr>
        <w:tc>
          <w:tcPr>
            <w:tcW w:w="4944" w:type="dxa"/>
            <w:tcBorders>
              <w:top w:val="nil"/>
              <w:left w:val="nil"/>
              <w:bottom w:val="nil"/>
              <w:right w:val="nil"/>
            </w:tcBorders>
            <w:shd w:val="clear" w:color="auto" w:fill="auto"/>
            <w:noWrap/>
            <w:vAlign w:val="center"/>
            <w:hideMark/>
          </w:tcPr>
          <w:p w14:paraId="32E76079" w14:textId="77777777" w:rsidR="000F5CD2" w:rsidRPr="00C47E91" w:rsidRDefault="000F5CD2" w:rsidP="000F5CD2">
            <w:pPr>
              <w:rPr>
                <w:i/>
                <w:color w:val="000000"/>
              </w:rPr>
            </w:pPr>
            <w:proofErr w:type="gramStart"/>
            <w:r w:rsidRPr="00C47E91">
              <w:rPr>
                <w:b/>
                <w:i/>
                <w:color w:val="000000"/>
              </w:rPr>
              <w:t>Total</w:t>
            </w:r>
            <w:proofErr w:type="gramEnd"/>
            <w:r w:rsidRPr="00C47E91">
              <w:rPr>
                <w:b/>
                <w:i/>
                <w:color w:val="000000"/>
              </w:rPr>
              <w:t xml:space="preserve"> de Otras Cuentas por Pagar </w:t>
            </w:r>
          </w:p>
        </w:tc>
        <w:tc>
          <w:tcPr>
            <w:tcW w:w="1596" w:type="dxa"/>
            <w:tcBorders>
              <w:left w:val="nil"/>
              <w:right w:val="nil"/>
            </w:tcBorders>
            <w:shd w:val="clear" w:color="auto" w:fill="auto"/>
            <w:noWrap/>
            <w:vAlign w:val="center"/>
            <w:hideMark/>
          </w:tcPr>
          <w:p w14:paraId="32E7607A" w14:textId="475BEDE3" w:rsidR="000F5CD2" w:rsidRPr="00C47E91" w:rsidRDefault="000E6A5E" w:rsidP="000F5CD2">
            <w:pPr>
              <w:jc w:val="right"/>
              <w:rPr>
                <w:i/>
                <w:color w:val="000000"/>
                <w:u w:val="double"/>
              </w:rPr>
            </w:pPr>
            <w:r w:rsidRPr="00C47E91">
              <w:rPr>
                <w:b/>
                <w:i/>
                <w:color w:val="000000"/>
                <w:u w:val="double"/>
              </w:rPr>
              <w:t>775,416.00</w:t>
            </w:r>
          </w:p>
        </w:tc>
        <w:tc>
          <w:tcPr>
            <w:tcW w:w="1697" w:type="dxa"/>
            <w:tcBorders>
              <w:left w:val="nil"/>
              <w:right w:val="nil"/>
            </w:tcBorders>
            <w:vAlign w:val="center"/>
          </w:tcPr>
          <w:p w14:paraId="55500DF6" w14:textId="0BE42592" w:rsidR="000F5CD2" w:rsidRPr="00C9557E" w:rsidRDefault="000F5CD2" w:rsidP="000F5CD2">
            <w:pPr>
              <w:jc w:val="right"/>
              <w:rPr>
                <w:b/>
                <w:i/>
                <w:color w:val="000000"/>
                <w:u w:val="double"/>
              </w:rPr>
            </w:pPr>
            <w:r w:rsidRPr="00C47E91">
              <w:rPr>
                <w:b/>
                <w:i/>
                <w:color w:val="000000"/>
                <w:u w:val="double"/>
              </w:rPr>
              <w:t>18,837,965.92</w:t>
            </w:r>
          </w:p>
        </w:tc>
        <w:tc>
          <w:tcPr>
            <w:tcW w:w="1697" w:type="dxa"/>
            <w:tcBorders>
              <w:left w:val="nil"/>
              <w:right w:val="nil"/>
            </w:tcBorders>
            <w:shd w:val="clear" w:color="auto" w:fill="auto"/>
            <w:noWrap/>
            <w:vAlign w:val="center"/>
          </w:tcPr>
          <w:p w14:paraId="32E7607B" w14:textId="1331FF85" w:rsidR="000F5CD2" w:rsidRPr="00976E40" w:rsidRDefault="000F5CD2" w:rsidP="000F5CD2">
            <w:pPr>
              <w:jc w:val="right"/>
              <w:rPr>
                <w:i/>
                <w:color w:val="000000"/>
                <w:u w:val="double"/>
              </w:rPr>
            </w:pPr>
          </w:p>
        </w:tc>
      </w:tr>
    </w:tbl>
    <w:p w14:paraId="32E7607D" w14:textId="77777777" w:rsidR="00757DA1" w:rsidRDefault="00757DA1" w:rsidP="00757DA1">
      <w:pPr>
        <w:spacing w:line="360" w:lineRule="auto"/>
        <w:jc w:val="both"/>
        <w:rPr>
          <w:b/>
          <w:i/>
          <w:sz w:val="18"/>
          <w:lang w:eastAsia="es-ES"/>
        </w:rPr>
      </w:pPr>
    </w:p>
    <w:p w14:paraId="113AA7F6" w14:textId="77777777" w:rsidR="00434E9C" w:rsidRDefault="00434E9C" w:rsidP="00757DA1">
      <w:pPr>
        <w:spacing w:line="360" w:lineRule="auto"/>
        <w:jc w:val="both"/>
        <w:rPr>
          <w:b/>
          <w:i/>
          <w:sz w:val="18"/>
          <w:lang w:eastAsia="es-ES"/>
        </w:rPr>
      </w:pPr>
    </w:p>
    <w:p w14:paraId="32E7607E" w14:textId="77777777" w:rsidR="0047648D" w:rsidRPr="00CA46D7" w:rsidRDefault="0047648D" w:rsidP="00757DA1">
      <w:pPr>
        <w:spacing w:line="360" w:lineRule="auto"/>
        <w:jc w:val="both"/>
        <w:rPr>
          <w:b/>
          <w:i/>
          <w:sz w:val="18"/>
          <w:lang w:eastAsia="es-ES"/>
        </w:rPr>
      </w:pPr>
    </w:p>
    <w:p w14:paraId="32E7607F" w14:textId="63759A6F" w:rsidR="001C21C2" w:rsidRDefault="00757DA1" w:rsidP="001C21C2">
      <w:pPr>
        <w:spacing w:line="360" w:lineRule="auto"/>
        <w:jc w:val="both"/>
        <w:rPr>
          <w:b/>
          <w:i/>
          <w:sz w:val="28"/>
          <w:lang w:eastAsia="es-ES"/>
        </w:rPr>
      </w:pPr>
      <w:r w:rsidRPr="003E5DBC">
        <w:rPr>
          <w:b/>
          <w:i/>
          <w:sz w:val="28"/>
          <w:lang w:eastAsia="es-ES"/>
        </w:rPr>
        <w:lastRenderedPageBreak/>
        <w:t>Patrimonio</w:t>
      </w:r>
      <w:r w:rsidR="001C21C2">
        <w:rPr>
          <w:b/>
          <w:i/>
          <w:sz w:val="28"/>
          <w:lang w:eastAsia="es-ES"/>
        </w:rPr>
        <w:t xml:space="preserve"> </w:t>
      </w:r>
    </w:p>
    <w:p w14:paraId="32E76080" w14:textId="77777777" w:rsidR="0047648D" w:rsidRDefault="0047648D" w:rsidP="001C21C2">
      <w:pPr>
        <w:spacing w:line="360" w:lineRule="auto"/>
        <w:jc w:val="both"/>
        <w:rPr>
          <w:b/>
          <w:i/>
          <w:sz w:val="28"/>
          <w:lang w:eastAsia="es-ES"/>
        </w:rPr>
      </w:pPr>
    </w:p>
    <w:p w14:paraId="32E76081" w14:textId="55DC6F00" w:rsidR="001C21C2" w:rsidRPr="002E6615" w:rsidRDefault="001C21C2" w:rsidP="001C21C2">
      <w:pPr>
        <w:spacing w:line="360" w:lineRule="auto"/>
        <w:jc w:val="both"/>
        <w:rPr>
          <w:b/>
          <w:i/>
          <w:sz w:val="28"/>
          <w:lang w:eastAsia="es-ES"/>
        </w:rPr>
      </w:pPr>
      <w:r>
        <w:rPr>
          <w:b/>
          <w:i/>
          <w:sz w:val="28"/>
          <w:lang w:eastAsia="es-ES"/>
        </w:rPr>
        <w:t>N</w:t>
      </w:r>
      <w:r w:rsidRPr="002E6615">
        <w:rPr>
          <w:b/>
          <w:i/>
          <w:sz w:val="28"/>
        </w:rPr>
        <w:t>ota 1</w:t>
      </w:r>
      <w:r w:rsidR="001A7303">
        <w:rPr>
          <w:b/>
          <w:i/>
          <w:sz w:val="28"/>
        </w:rPr>
        <w:t>6</w:t>
      </w:r>
      <w:r>
        <w:rPr>
          <w:b/>
          <w:i/>
          <w:sz w:val="28"/>
        </w:rPr>
        <w:t>:</w:t>
      </w:r>
      <w:r w:rsidRPr="002E6615">
        <w:rPr>
          <w:b/>
          <w:i/>
          <w:sz w:val="28"/>
        </w:rPr>
        <w:t xml:space="preserve"> </w:t>
      </w:r>
      <w:r w:rsidR="00E02B5D">
        <w:rPr>
          <w:b/>
          <w:i/>
          <w:sz w:val="28"/>
        </w:rPr>
        <w:t>A</w:t>
      </w:r>
      <w:r w:rsidR="00424226">
        <w:rPr>
          <w:b/>
          <w:i/>
          <w:sz w:val="28"/>
        </w:rPr>
        <w:t>ctivos Netos / Patrimonio</w:t>
      </w:r>
    </w:p>
    <w:p w14:paraId="32E76082" w14:textId="0CD828AB" w:rsidR="00757DA1" w:rsidRPr="002E6615" w:rsidRDefault="00757DA1" w:rsidP="00757DA1">
      <w:pPr>
        <w:spacing w:line="360" w:lineRule="auto"/>
        <w:jc w:val="both"/>
        <w:rPr>
          <w:i/>
        </w:rPr>
      </w:pPr>
      <w:r w:rsidRPr="00E629CA">
        <w:rPr>
          <w:bCs/>
          <w:i/>
          <w:lang w:eastAsia="es-ES"/>
        </w:rPr>
        <w:t xml:space="preserve">Al </w:t>
      </w:r>
      <w:r w:rsidRPr="00D04DC6">
        <w:rPr>
          <w:bCs/>
          <w:i/>
          <w:lang w:eastAsia="es-ES"/>
        </w:rPr>
        <w:t xml:space="preserve">31 de Diciembre </w:t>
      </w:r>
      <w:r w:rsidR="00CA46D7">
        <w:rPr>
          <w:rStyle w:val="CarCar"/>
          <w:rFonts w:ascii="Times New Roman" w:hAnsi="Times New Roman" w:cs="Times New Roman"/>
          <w:b w:val="0"/>
          <w:i/>
          <w:sz w:val="24"/>
        </w:rPr>
        <w:t xml:space="preserve">de los </w:t>
      </w:r>
      <w:proofErr w:type="gramStart"/>
      <w:r w:rsidR="00CA46D7">
        <w:rPr>
          <w:rStyle w:val="CarCar"/>
          <w:rFonts w:ascii="Times New Roman" w:hAnsi="Times New Roman" w:cs="Times New Roman"/>
          <w:b w:val="0"/>
          <w:i/>
          <w:sz w:val="24"/>
        </w:rPr>
        <w:t xml:space="preserve">años  </w:t>
      </w:r>
      <w:r w:rsidR="004B0A9D" w:rsidRPr="00BD5449">
        <w:rPr>
          <w:rStyle w:val="CarCar"/>
          <w:rFonts w:ascii="Times New Roman" w:hAnsi="Times New Roman" w:cs="Times New Roman"/>
          <w:b w:val="0"/>
          <w:i/>
          <w:sz w:val="24"/>
        </w:rPr>
        <w:t>202</w:t>
      </w:r>
      <w:r w:rsidR="004B0A9D">
        <w:rPr>
          <w:rStyle w:val="CarCar"/>
          <w:rFonts w:ascii="Times New Roman" w:hAnsi="Times New Roman" w:cs="Times New Roman"/>
          <w:b w:val="0"/>
          <w:i/>
          <w:sz w:val="24"/>
        </w:rPr>
        <w:t>2</w:t>
      </w:r>
      <w:proofErr w:type="gramEnd"/>
      <w:r w:rsidR="004B0A9D" w:rsidRPr="00BD5449">
        <w:rPr>
          <w:rStyle w:val="CarCar"/>
          <w:rFonts w:ascii="Times New Roman" w:hAnsi="Times New Roman" w:cs="Times New Roman"/>
          <w:b w:val="0"/>
          <w:i/>
          <w:sz w:val="24"/>
        </w:rPr>
        <w:t xml:space="preserve">  y  20</w:t>
      </w:r>
      <w:r w:rsidR="004B0A9D">
        <w:rPr>
          <w:rStyle w:val="CarCar"/>
          <w:rFonts w:ascii="Times New Roman" w:hAnsi="Times New Roman" w:cs="Times New Roman"/>
          <w:b w:val="0"/>
          <w:i/>
          <w:sz w:val="24"/>
        </w:rPr>
        <w:t xml:space="preserve">21 </w:t>
      </w:r>
      <w:r w:rsidRPr="009F093B">
        <w:rPr>
          <w:i/>
        </w:rPr>
        <w:t>representa un saldo de RD$</w:t>
      </w:r>
      <w:r w:rsidR="00521C21">
        <w:rPr>
          <w:i/>
        </w:rPr>
        <w:t>240,162</w:t>
      </w:r>
      <w:r w:rsidR="00AB40FA">
        <w:rPr>
          <w:i/>
        </w:rPr>
        <w:t>,709.94</w:t>
      </w:r>
      <w:r w:rsidR="00CA46D7">
        <w:rPr>
          <w:i/>
        </w:rPr>
        <w:t xml:space="preserve"> </w:t>
      </w:r>
      <w:r w:rsidRPr="009F093B">
        <w:rPr>
          <w:i/>
        </w:rPr>
        <w:t>y  RD$</w:t>
      </w:r>
      <w:r w:rsidR="00AB40FA">
        <w:rPr>
          <w:i/>
        </w:rPr>
        <w:t>182,031,134.96</w:t>
      </w:r>
      <w:r w:rsidR="00CA46D7">
        <w:rPr>
          <w:i/>
        </w:rPr>
        <w:t xml:space="preserve"> </w:t>
      </w:r>
      <w:r w:rsidRPr="009F093B">
        <w:rPr>
          <w:i/>
        </w:rPr>
        <w:t>respectivamente.</w:t>
      </w:r>
      <w:r w:rsidRPr="002E6615">
        <w:rPr>
          <w:i/>
        </w:rPr>
        <w:t xml:space="preserve"> </w:t>
      </w:r>
    </w:p>
    <w:tbl>
      <w:tblPr>
        <w:tblW w:w="8715" w:type="dxa"/>
        <w:tblInd w:w="55" w:type="dxa"/>
        <w:tblCellMar>
          <w:left w:w="70" w:type="dxa"/>
          <w:right w:w="70" w:type="dxa"/>
        </w:tblCellMar>
        <w:tblLook w:val="04A0" w:firstRow="1" w:lastRow="0" w:firstColumn="1" w:lastColumn="0" w:noHBand="0" w:noVBand="1"/>
      </w:tblPr>
      <w:tblGrid>
        <w:gridCol w:w="8725"/>
      </w:tblGrid>
      <w:tr w:rsidR="00757DA1" w:rsidRPr="00277490" w14:paraId="32E76098" w14:textId="77777777" w:rsidTr="00757DA1">
        <w:trPr>
          <w:trHeight w:val="330"/>
        </w:trPr>
        <w:tc>
          <w:tcPr>
            <w:tcW w:w="8715" w:type="dxa"/>
            <w:tcBorders>
              <w:top w:val="nil"/>
              <w:left w:val="nil"/>
              <w:bottom w:val="nil"/>
              <w:right w:val="nil"/>
            </w:tcBorders>
            <w:shd w:val="clear" w:color="auto" w:fill="auto"/>
            <w:noWrap/>
            <w:vAlign w:val="bottom"/>
          </w:tcPr>
          <w:tbl>
            <w:tblPr>
              <w:tblW w:w="8520" w:type="dxa"/>
              <w:tblInd w:w="45" w:type="dxa"/>
              <w:tblCellMar>
                <w:left w:w="70" w:type="dxa"/>
                <w:right w:w="70" w:type="dxa"/>
              </w:tblCellMar>
              <w:tblLook w:val="04A0" w:firstRow="1" w:lastRow="0" w:firstColumn="1" w:lastColumn="0" w:noHBand="0" w:noVBand="1"/>
            </w:tblPr>
            <w:tblGrid>
              <w:gridCol w:w="4039"/>
              <w:gridCol w:w="2695"/>
              <w:gridCol w:w="1786"/>
            </w:tblGrid>
            <w:tr w:rsidR="00CA46D7" w:rsidRPr="00277490" w14:paraId="32E76086" w14:textId="77777777" w:rsidTr="00CA46D7">
              <w:trPr>
                <w:trHeight w:val="315"/>
              </w:trPr>
              <w:tc>
                <w:tcPr>
                  <w:tcW w:w="4039" w:type="dxa"/>
                  <w:tcBorders>
                    <w:top w:val="single" w:sz="8" w:space="0" w:color="auto"/>
                    <w:left w:val="single" w:sz="8" w:space="0" w:color="auto"/>
                    <w:bottom w:val="single" w:sz="4" w:space="0" w:color="auto"/>
                    <w:right w:val="single" w:sz="8" w:space="0" w:color="auto"/>
                  </w:tcBorders>
                  <w:shd w:val="clear" w:color="000000" w:fill="D9D9D9"/>
                  <w:vAlign w:val="center"/>
                  <w:hideMark/>
                </w:tcPr>
                <w:p w14:paraId="32E76083" w14:textId="77777777" w:rsidR="00CA46D7" w:rsidRPr="00277490" w:rsidRDefault="00CA46D7" w:rsidP="007A10AF">
                  <w:pPr>
                    <w:jc w:val="center"/>
                    <w:rPr>
                      <w:b/>
                      <w:bCs/>
                      <w:i/>
                      <w:color w:val="000000"/>
                    </w:rPr>
                  </w:pPr>
                  <w:r w:rsidRPr="00277490">
                    <w:rPr>
                      <w:b/>
                      <w:bCs/>
                      <w:i/>
                      <w:color w:val="000000"/>
                    </w:rPr>
                    <w:t>CONCEPTO</w:t>
                  </w:r>
                </w:p>
              </w:tc>
              <w:tc>
                <w:tcPr>
                  <w:tcW w:w="2695" w:type="dxa"/>
                  <w:tcBorders>
                    <w:top w:val="single" w:sz="8" w:space="0" w:color="auto"/>
                    <w:left w:val="nil"/>
                    <w:bottom w:val="single" w:sz="4" w:space="0" w:color="auto"/>
                    <w:right w:val="single" w:sz="8" w:space="0" w:color="auto"/>
                  </w:tcBorders>
                  <w:shd w:val="clear" w:color="000000" w:fill="D9D9D9"/>
                  <w:noWrap/>
                  <w:vAlign w:val="bottom"/>
                  <w:hideMark/>
                </w:tcPr>
                <w:p w14:paraId="32E76084" w14:textId="46922D2B" w:rsidR="00CA46D7" w:rsidRPr="00277490" w:rsidRDefault="00CA46D7" w:rsidP="007A10AF">
                  <w:pPr>
                    <w:jc w:val="center"/>
                    <w:rPr>
                      <w:b/>
                      <w:bCs/>
                      <w:i/>
                      <w:color w:val="000000"/>
                    </w:rPr>
                  </w:pPr>
                  <w:r>
                    <w:rPr>
                      <w:b/>
                      <w:bCs/>
                      <w:i/>
                      <w:color w:val="000000"/>
                    </w:rPr>
                    <w:t>202</w:t>
                  </w:r>
                  <w:r w:rsidR="003E0715">
                    <w:rPr>
                      <w:b/>
                      <w:bCs/>
                      <w:i/>
                      <w:color w:val="000000"/>
                    </w:rPr>
                    <w:t>2</w:t>
                  </w:r>
                </w:p>
              </w:tc>
              <w:tc>
                <w:tcPr>
                  <w:tcW w:w="1786" w:type="dxa"/>
                  <w:tcBorders>
                    <w:top w:val="single" w:sz="8" w:space="0" w:color="auto"/>
                    <w:left w:val="nil"/>
                    <w:bottom w:val="single" w:sz="4" w:space="0" w:color="auto"/>
                    <w:right w:val="single" w:sz="8" w:space="0" w:color="auto"/>
                  </w:tcBorders>
                  <w:shd w:val="clear" w:color="000000" w:fill="D9D9D9"/>
                  <w:noWrap/>
                  <w:vAlign w:val="bottom"/>
                  <w:hideMark/>
                </w:tcPr>
                <w:p w14:paraId="32E76085" w14:textId="36692738" w:rsidR="00CA46D7" w:rsidRPr="00277490" w:rsidRDefault="00CA46D7" w:rsidP="007A10AF">
                  <w:pPr>
                    <w:jc w:val="center"/>
                    <w:rPr>
                      <w:b/>
                      <w:bCs/>
                      <w:i/>
                      <w:color w:val="000000"/>
                    </w:rPr>
                  </w:pPr>
                  <w:r>
                    <w:rPr>
                      <w:b/>
                      <w:bCs/>
                      <w:i/>
                      <w:color w:val="000000"/>
                    </w:rPr>
                    <w:t>202</w:t>
                  </w:r>
                  <w:r w:rsidR="003E0715">
                    <w:rPr>
                      <w:b/>
                      <w:bCs/>
                      <w:i/>
                      <w:color w:val="000000"/>
                    </w:rPr>
                    <w:t>1</w:t>
                  </w:r>
                </w:p>
              </w:tc>
            </w:tr>
            <w:tr w:rsidR="00DB6CE9" w:rsidRPr="00277490" w14:paraId="32E7608A" w14:textId="77777777" w:rsidTr="00CA46D7">
              <w:trPr>
                <w:trHeight w:val="315"/>
              </w:trPr>
              <w:tc>
                <w:tcPr>
                  <w:tcW w:w="4039" w:type="dxa"/>
                  <w:tcBorders>
                    <w:top w:val="nil"/>
                    <w:left w:val="single" w:sz="8" w:space="0" w:color="auto"/>
                    <w:bottom w:val="single" w:sz="4" w:space="0" w:color="auto"/>
                    <w:right w:val="single" w:sz="8" w:space="0" w:color="auto"/>
                  </w:tcBorders>
                  <w:shd w:val="clear" w:color="auto" w:fill="auto"/>
                  <w:noWrap/>
                  <w:vAlign w:val="center"/>
                  <w:hideMark/>
                </w:tcPr>
                <w:p w14:paraId="32E76087" w14:textId="77777777" w:rsidR="00DB6CE9" w:rsidRPr="00277490" w:rsidRDefault="00DB6CE9" w:rsidP="00DB6CE9">
                  <w:pPr>
                    <w:rPr>
                      <w:i/>
                      <w:color w:val="000000"/>
                    </w:rPr>
                  </w:pPr>
                  <w:r w:rsidRPr="00277490">
                    <w:rPr>
                      <w:i/>
                      <w:color w:val="000000"/>
                    </w:rPr>
                    <w:t>Reservas de Capital</w:t>
                  </w:r>
                  <w:r>
                    <w:rPr>
                      <w:i/>
                      <w:color w:val="000000"/>
                    </w:rPr>
                    <w:t>*</w:t>
                  </w:r>
                </w:p>
              </w:tc>
              <w:tc>
                <w:tcPr>
                  <w:tcW w:w="2695" w:type="dxa"/>
                  <w:tcBorders>
                    <w:top w:val="nil"/>
                    <w:left w:val="nil"/>
                    <w:bottom w:val="single" w:sz="4" w:space="0" w:color="auto"/>
                    <w:right w:val="single" w:sz="8" w:space="0" w:color="auto"/>
                  </w:tcBorders>
                  <w:shd w:val="clear" w:color="auto" w:fill="auto"/>
                  <w:noWrap/>
                  <w:vAlign w:val="bottom"/>
                  <w:hideMark/>
                </w:tcPr>
                <w:p w14:paraId="32E76088" w14:textId="77777777" w:rsidR="00DB6CE9" w:rsidRPr="005D2226" w:rsidRDefault="00DB6CE9" w:rsidP="00DB6CE9">
                  <w:pPr>
                    <w:jc w:val="right"/>
                    <w:rPr>
                      <w:i/>
                      <w:color w:val="000000"/>
                      <w:highlight w:val="yellow"/>
                    </w:rPr>
                  </w:pPr>
                  <w:r w:rsidRPr="001E682C">
                    <w:rPr>
                      <w:i/>
                      <w:color w:val="000000"/>
                    </w:rPr>
                    <w:t>9,450,837.65</w:t>
                  </w:r>
                </w:p>
              </w:tc>
              <w:tc>
                <w:tcPr>
                  <w:tcW w:w="1786" w:type="dxa"/>
                  <w:tcBorders>
                    <w:top w:val="nil"/>
                    <w:left w:val="nil"/>
                    <w:bottom w:val="single" w:sz="4" w:space="0" w:color="auto"/>
                    <w:right w:val="single" w:sz="8" w:space="0" w:color="auto"/>
                  </w:tcBorders>
                  <w:shd w:val="clear" w:color="auto" w:fill="auto"/>
                  <w:noWrap/>
                  <w:vAlign w:val="bottom"/>
                  <w:hideMark/>
                </w:tcPr>
                <w:p w14:paraId="32E76089" w14:textId="24A7024A" w:rsidR="00DB6CE9" w:rsidRPr="00C9557E" w:rsidRDefault="00DB6CE9" w:rsidP="00DB6CE9">
                  <w:pPr>
                    <w:jc w:val="right"/>
                    <w:rPr>
                      <w:i/>
                      <w:color w:val="000000"/>
                    </w:rPr>
                  </w:pPr>
                  <w:r w:rsidRPr="001E682C">
                    <w:rPr>
                      <w:i/>
                      <w:color w:val="000000"/>
                    </w:rPr>
                    <w:t>9,450,837.65</w:t>
                  </w:r>
                </w:p>
              </w:tc>
            </w:tr>
            <w:tr w:rsidR="00DB6CE9" w:rsidRPr="00277490" w14:paraId="32E7608E" w14:textId="77777777" w:rsidTr="00CA46D7">
              <w:trPr>
                <w:trHeight w:val="315"/>
              </w:trPr>
              <w:tc>
                <w:tcPr>
                  <w:tcW w:w="4039" w:type="dxa"/>
                  <w:tcBorders>
                    <w:top w:val="nil"/>
                    <w:left w:val="single" w:sz="8" w:space="0" w:color="auto"/>
                    <w:bottom w:val="single" w:sz="4" w:space="0" w:color="auto"/>
                    <w:right w:val="single" w:sz="8" w:space="0" w:color="auto"/>
                  </w:tcBorders>
                  <w:shd w:val="clear" w:color="auto" w:fill="auto"/>
                  <w:noWrap/>
                  <w:vAlign w:val="center"/>
                  <w:hideMark/>
                </w:tcPr>
                <w:p w14:paraId="32E7608B" w14:textId="77777777" w:rsidR="00DB6CE9" w:rsidRPr="00277490" w:rsidRDefault="00DB6CE9" w:rsidP="00DB6CE9">
                  <w:pPr>
                    <w:rPr>
                      <w:i/>
                      <w:color w:val="000000"/>
                    </w:rPr>
                  </w:pPr>
                  <w:r>
                    <w:rPr>
                      <w:i/>
                      <w:color w:val="000000"/>
                    </w:rPr>
                    <w:t>Resultado del Período</w:t>
                  </w:r>
                </w:p>
              </w:tc>
              <w:tc>
                <w:tcPr>
                  <w:tcW w:w="2695" w:type="dxa"/>
                  <w:tcBorders>
                    <w:top w:val="nil"/>
                    <w:left w:val="nil"/>
                    <w:bottom w:val="single" w:sz="4" w:space="0" w:color="auto"/>
                    <w:right w:val="single" w:sz="8" w:space="0" w:color="auto"/>
                  </w:tcBorders>
                  <w:shd w:val="clear" w:color="auto" w:fill="auto"/>
                  <w:noWrap/>
                  <w:vAlign w:val="bottom"/>
                </w:tcPr>
                <w:p w14:paraId="32E7608C" w14:textId="70CE582C" w:rsidR="00DB6CE9" w:rsidRPr="005D2226" w:rsidRDefault="00DB6CE9" w:rsidP="00DB6CE9">
                  <w:pPr>
                    <w:jc w:val="right"/>
                    <w:rPr>
                      <w:i/>
                      <w:color w:val="000000"/>
                      <w:highlight w:val="yellow"/>
                    </w:rPr>
                  </w:pPr>
                  <w:r>
                    <w:rPr>
                      <w:i/>
                      <w:color w:val="000000"/>
                    </w:rPr>
                    <w:t>40,734,448.06</w:t>
                  </w:r>
                </w:p>
              </w:tc>
              <w:tc>
                <w:tcPr>
                  <w:tcW w:w="1786" w:type="dxa"/>
                  <w:tcBorders>
                    <w:top w:val="nil"/>
                    <w:left w:val="nil"/>
                    <w:bottom w:val="single" w:sz="4" w:space="0" w:color="auto"/>
                    <w:right w:val="single" w:sz="8" w:space="0" w:color="auto"/>
                  </w:tcBorders>
                  <w:shd w:val="clear" w:color="auto" w:fill="auto"/>
                  <w:noWrap/>
                  <w:vAlign w:val="bottom"/>
                </w:tcPr>
                <w:p w14:paraId="32E7608D" w14:textId="764CA14B" w:rsidR="00DB6CE9" w:rsidRPr="00C9557E" w:rsidRDefault="00DB6CE9" w:rsidP="00DB6CE9">
                  <w:pPr>
                    <w:jc w:val="right"/>
                    <w:rPr>
                      <w:i/>
                      <w:color w:val="000000"/>
                    </w:rPr>
                  </w:pPr>
                  <w:r>
                    <w:rPr>
                      <w:i/>
                      <w:color w:val="000000"/>
                    </w:rPr>
                    <w:t>(</w:t>
                  </w:r>
                  <w:r w:rsidR="00F95836">
                    <w:rPr>
                      <w:i/>
                      <w:color w:val="000000"/>
                    </w:rPr>
                    <w:t>6,658,105.09)</w:t>
                  </w:r>
                </w:p>
              </w:tc>
            </w:tr>
            <w:tr w:rsidR="00DB6CE9" w:rsidRPr="00277490" w14:paraId="32E76092" w14:textId="77777777" w:rsidTr="00CA46D7">
              <w:trPr>
                <w:trHeight w:val="315"/>
              </w:trPr>
              <w:tc>
                <w:tcPr>
                  <w:tcW w:w="4039" w:type="dxa"/>
                  <w:tcBorders>
                    <w:top w:val="nil"/>
                    <w:left w:val="single" w:sz="8" w:space="0" w:color="auto"/>
                    <w:bottom w:val="single" w:sz="4" w:space="0" w:color="auto"/>
                    <w:right w:val="single" w:sz="8" w:space="0" w:color="auto"/>
                  </w:tcBorders>
                  <w:shd w:val="clear" w:color="auto" w:fill="auto"/>
                  <w:noWrap/>
                  <w:vAlign w:val="center"/>
                  <w:hideMark/>
                </w:tcPr>
                <w:p w14:paraId="32E7608F" w14:textId="77777777" w:rsidR="00DB6CE9" w:rsidRPr="00277490" w:rsidRDefault="00DB6CE9" w:rsidP="00DB6CE9">
                  <w:pPr>
                    <w:rPr>
                      <w:i/>
                      <w:color w:val="000000"/>
                    </w:rPr>
                  </w:pPr>
                  <w:r w:rsidRPr="00277490">
                    <w:rPr>
                      <w:i/>
                      <w:color w:val="000000"/>
                    </w:rPr>
                    <w:t>Resultados de Periodos Anteriores</w:t>
                  </w:r>
                </w:p>
              </w:tc>
              <w:tc>
                <w:tcPr>
                  <w:tcW w:w="2695" w:type="dxa"/>
                  <w:tcBorders>
                    <w:top w:val="nil"/>
                    <w:left w:val="nil"/>
                    <w:bottom w:val="single" w:sz="4" w:space="0" w:color="auto"/>
                    <w:right w:val="single" w:sz="8" w:space="0" w:color="auto"/>
                  </w:tcBorders>
                  <w:shd w:val="clear" w:color="auto" w:fill="auto"/>
                  <w:noWrap/>
                  <w:vAlign w:val="bottom"/>
                  <w:hideMark/>
                </w:tcPr>
                <w:p w14:paraId="32E76090" w14:textId="58F61D8A" w:rsidR="00DB6CE9" w:rsidRPr="005D2226" w:rsidRDefault="00DB6CE9" w:rsidP="00DB6CE9">
                  <w:pPr>
                    <w:jc w:val="right"/>
                    <w:rPr>
                      <w:i/>
                      <w:color w:val="000000"/>
                      <w:highlight w:val="yellow"/>
                    </w:rPr>
                  </w:pPr>
                  <w:r>
                    <w:rPr>
                      <w:i/>
                      <w:color w:val="000000"/>
                    </w:rPr>
                    <w:t>189,977,424.23</w:t>
                  </w:r>
                  <w:r w:rsidRPr="00E50232">
                    <w:rPr>
                      <w:i/>
                      <w:color w:val="000000"/>
                    </w:rPr>
                    <w:t xml:space="preserve">     </w:t>
                  </w:r>
                </w:p>
              </w:tc>
              <w:tc>
                <w:tcPr>
                  <w:tcW w:w="1786" w:type="dxa"/>
                  <w:tcBorders>
                    <w:top w:val="nil"/>
                    <w:left w:val="nil"/>
                    <w:bottom w:val="single" w:sz="4" w:space="0" w:color="auto"/>
                    <w:right w:val="single" w:sz="8" w:space="0" w:color="auto"/>
                  </w:tcBorders>
                  <w:shd w:val="clear" w:color="auto" w:fill="auto"/>
                  <w:noWrap/>
                  <w:vAlign w:val="bottom"/>
                  <w:hideMark/>
                </w:tcPr>
                <w:p w14:paraId="32E76091" w14:textId="0D6D55BB" w:rsidR="00DB6CE9" w:rsidRPr="00C9557E" w:rsidRDefault="00F95836" w:rsidP="00DB6CE9">
                  <w:pPr>
                    <w:jc w:val="right"/>
                    <w:rPr>
                      <w:i/>
                      <w:color w:val="000000"/>
                    </w:rPr>
                  </w:pPr>
                  <w:r>
                    <w:rPr>
                      <w:i/>
                      <w:color w:val="000000"/>
                    </w:rPr>
                    <w:t>179,238,402.40</w:t>
                  </w:r>
                </w:p>
              </w:tc>
            </w:tr>
            <w:tr w:rsidR="00DB6CE9" w:rsidRPr="00277490" w14:paraId="32E76096" w14:textId="77777777" w:rsidTr="00CA46D7">
              <w:trPr>
                <w:trHeight w:val="330"/>
              </w:trPr>
              <w:tc>
                <w:tcPr>
                  <w:tcW w:w="4039" w:type="dxa"/>
                  <w:tcBorders>
                    <w:top w:val="nil"/>
                    <w:left w:val="single" w:sz="8" w:space="0" w:color="auto"/>
                    <w:bottom w:val="single" w:sz="8" w:space="0" w:color="auto"/>
                    <w:right w:val="single" w:sz="8" w:space="0" w:color="auto"/>
                  </w:tcBorders>
                  <w:shd w:val="clear" w:color="000000" w:fill="D9D9D9"/>
                  <w:vAlign w:val="center"/>
                  <w:hideMark/>
                </w:tcPr>
                <w:p w14:paraId="32E76093" w14:textId="77777777" w:rsidR="00DB6CE9" w:rsidRPr="00277490" w:rsidRDefault="00DB6CE9" w:rsidP="00DB6CE9">
                  <w:pPr>
                    <w:jc w:val="center"/>
                    <w:rPr>
                      <w:b/>
                      <w:bCs/>
                      <w:i/>
                      <w:color w:val="000000"/>
                    </w:rPr>
                  </w:pPr>
                  <w:r w:rsidRPr="00277490">
                    <w:rPr>
                      <w:b/>
                      <w:bCs/>
                      <w:i/>
                      <w:color w:val="000000"/>
                    </w:rPr>
                    <w:t>Total de Patrimonio</w:t>
                  </w:r>
                </w:p>
              </w:tc>
              <w:tc>
                <w:tcPr>
                  <w:tcW w:w="2695" w:type="dxa"/>
                  <w:tcBorders>
                    <w:top w:val="nil"/>
                    <w:left w:val="nil"/>
                    <w:bottom w:val="single" w:sz="8" w:space="0" w:color="auto"/>
                    <w:right w:val="single" w:sz="8" w:space="0" w:color="auto"/>
                  </w:tcBorders>
                  <w:shd w:val="clear" w:color="000000" w:fill="D9D9D9"/>
                  <w:noWrap/>
                  <w:vAlign w:val="bottom"/>
                  <w:hideMark/>
                </w:tcPr>
                <w:p w14:paraId="32E76094" w14:textId="635DA833" w:rsidR="00DB6CE9" w:rsidRPr="005D2226" w:rsidRDefault="00453150" w:rsidP="00DB6CE9">
                  <w:pPr>
                    <w:jc w:val="right"/>
                    <w:rPr>
                      <w:b/>
                      <w:bCs/>
                      <w:i/>
                      <w:color w:val="000000"/>
                      <w:highlight w:val="yellow"/>
                    </w:rPr>
                  </w:pPr>
                  <w:r>
                    <w:rPr>
                      <w:b/>
                      <w:bCs/>
                      <w:i/>
                      <w:color w:val="000000"/>
                    </w:rPr>
                    <w:t>240,162,709.94</w:t>
                  </w:r>
                </w:p>
              </w:tc>
              <w:tc>
                <w:tcPr>
                  <w:tcW w:w="1786" w:type="dxa"/>
                  <w:tcBorders>
                    <w:top w:val="nil"/>
                    <w:left w:val="nil"/>
                    <w:bottom w:val="single" w:sz="8" w:space="0" w:color="auto"/>
                    <w:right w:val="single" w:sz="8" w:space="0" w:color="auto"/>
                  </w:tcBorders>
                  <w:shd w:val="clear" w:color="auto" w:fill="D9D9D9" w:themeFill="background1" w:themeFillShade="D9"/>
                  <w:noWrap/>
                  <w:vAlign w:val="bottom"/>
                  <w:hideMark/>
                </w:tcPr>
                <w:p w14:paraId="32E76095" w14:textId="6E1D20C8" w:rsidR="00DB6CE9" w:rsidRPr="00C9557E" w:rsidRDefault="00521C21" w:rsidP="00DB6CE9">
                  <w:pPr>
                    <w:jc w:val="right"/>
                    <w:rPr>
                      <w:b/>
                      <w:bCs/>
                      <w:i/>
                      <w:color w:val="000000"/>
                    </w:rPr>
                  </w:pPr>
                  <w:r>
                    <w:rPr>
                      <w:b/>
                      <w:bCs/>
                      <w:i/>
                      <w:color w:val="000000"/>
                    </w:rPr>
                    <w:t>182,031.134.96</w:t>
                  </w:r>
                </w:p>
              </w:tc>
            </w:tr>
          </w:tbl>
          <w:p w14:paraId="32E76097" w14:textId="77777777" w:rsidR="00757DA1" w:rsidRPr="00277490" w:rsidRDefault="00757DA1" w:rsidP="00757DA1">
            <w:pPr>
              <w:jc w:val="center"/>
              <w:rPr>
                <w:b/>
                <w:bCs/>
                <w:i/>
                <w:color w:val="000000"/>
              </w:rPr>
            </w:pPr>
          </w:p>
        </w:tc>
      </w:tr>
    </w:tbl>
    <w:p w14:paraId="32E76099" w14:textId="77777777" w:rsidR="006353A7" w:rsidRDefault="006353A7" w:rsidP="007575EB">
      <w:pPr>
        <w:spacing w:line="360" w:lineRule="auto"/>
        <w:jc w:val="both"/>
        <w:rPr>
          <w:b/>
          <w:bCs/>
          <w:i/>
          <w:lang w:eastAsia="es-ES"/>
        </w:rPr>
      </w:pPr>
    </w:p>
    <w:p w14:paraId="32E7609A" w14:textId="77777777" w:rsidR="00CA46D7" w:rsidRDefault="007575EB" w:rsidP="007575EB">
      <w:pPr>
        <w:spacing w:line="360" w:lineRule="auto"/>
        <w:jc w:val="both"/>
        <w:rPr>
          <w:b/>
          <w:bCs/>
          <w:i/>
          <w:lang w:eastAsia="es-ES"/>
        </w:rPr>
      </w:pPr>
      <w:r w:rsidRPr="006802DA">
        <w:rPr>
          <w:b/>
          <w:bCs/>
          <w:i/>
          <w:lang w:eastAsia="es-ES"/>
        </w:rPr>
        <w:t>Reserva de Capital</w:t>
      </w:r>
      <w:r>
        <w:rPr>
          <w:b/>
          <w:bCs/>
          <w:i/>
          <w:lang w:eastAsia="es-ES"/>
        </w:rPr>
        <w:t>*</w:t>
      </w:r>
    </w:p>
    <w:p w14:paraId="32E7609B" w14:textId="77777777" w:rsidR="00F8070C" w:rsidRPr="00F8070C" w:rsidRDefault="00CA46D7" w:rsidP="00757DA1">
      <w:pPr>
        <w:spacing w:line="360" w:lineRule="auto"/>
        <w:jc w:val="both"/>
        <w:rPr>
          <w:bCs/>
          <w:i/>
          <w:lang w:eastAsia="es-ES"/>
        </w:rPr>
      </w:pPr>
      <w:r w:rsidRPr="00CA46D7">
        <w:rPr>
          <w:bCs/>
          <w:i/>
          <w:lang w:eastAsia="es-ES"/>
        </w:rPr>
        <w:t>Creación de Reserva de Capital, equivalente al 5% del total del Patrimonio al 31 de Diciembre 2020, según Resolución Administrativa 017-2021 de Fecha 29 de Octubre 2021 y comunicación DS-1452 de fecha 10 de Noviembre 2021.</w:t>
      </w:r>
    </w:p>
    <w:p w14:paraId="78EBA3B4" w14:textId="77777777" w:rsidR="003E5597" w:rsidRDefault="003E5597" w:rsidP="00757DA1">
      <w:pPr>
        <w:spacing w:line="360" w:lineRule="auto"/>
        <w:jc w:val="both"/>
        <w:rPr>
          <w:b/>
          <w:i/>
        </w:rPr>
      </w:pPr>
    </w:p>
    <w:p w14:paraId="71E2F25B" w14:textId="77777777" w:rsidR="003E5597" w:rsidRDefault="003E5597" w:rsidP="00757DA1">
      <w:pPr>
        <w:spacing w:line="360" w:lineRule="auto"/>
        <w:jc w:val="both"/>
        <w:rPr>
          <w:b/>
          <w:i/>
        </w:rPr>
      </w:pPr>
    </w:p>
    <w:p w14:paraId="32E7609C" w14:textId="04684C0D" w:rsidR="00757DA1" w:rsidRPr="00CF7BA4" w:rsidRDefault="00757DA1" w:rsidP="00757DA1">
      <w:pPr>
        <w:spacing w:line="360" w:lineRule="auto"/>
        <w:jc w:val="both"/>
        <w:rPr>
          <w:bCs/>
          <w:i/>
          <w:lang w:eastAsia="es-ES"/>
        </w:rPr>
      </w:pPr>
      <w:r w:rsidRPr="002E6615">
        <w:rPr>
          <w:b/>
          <w:i/>
        </w:rPr>
        <w:t>ESTADO DE RESULTADO</w:t>
      </w:r>
    </w:p>
    <w:p w14:paraId="32E7609D" w14:textId="77777777" w:rsidR="0059075B" w:rsidRPr="00CA46D7" w:rsidRDefault="0059075B" w:rsidP="00757DA1">
      <w:pPr>
        <w:spacing w:line="360" w:lineRule="auto"/>
        <w:jc w:val="both"/>
        <w:rPr>
          <w:bCs/>
          <w:i/>
          <w:lang w:eastAsia="es-ES"/>
        </w:rPr>
      </w:pPr>
    </w:p>
    <w:p w14:paraId="32E7609E" w14:textId="77777777" w:rsidR="00757DA1" w:rsidRPr="002E6615" w:rsidRDefault="00757DA1" w:rsidP="00757DA1">
      <w:pPr>
        <w:spacing w:line="360" w:lineRule="auto"/>
        <w:jc w:val="both"/>
        <w:rPr>
          <w:b/>
          <w:i/>
          <w:sz w:val="2"/>
        </w:rPr>
      </w:pPr>
    </w:p>
    <w:p w14:paraId="32E7609F" w14:textId="77777777" w:rsidR="00757DA1" w:rsidRPr="002E6615" w:rsidRDefault="00757DA1" w:rsidP="00757DA1">
      <w:pPr>
        <w:spacing w:line="360" w:lineRule="auto"/>
        <w:jc w:val="both"/>
        <w:rPr>
          <w:b/>
          <w:i/>
        </w:rPr>
      </w:pPr>
      <w:r w:rsidRPr="002E6615">
        <w:rPr>
          <w:b/>
          <w:i/>
        </w:rPr>
        <w:t>INGRESOS CORRIENTES</w:t>
      </w:r>
    </w:p>
    <w:p w14:paraId="32E760A0" w14:textId="07BC9DEE" w:rsidR="00C326BC" w:rsidRDefault="00C326BC" w:rsidP="00C326BC">
      <w:pPr>
        <w:spacing w:line="360" w:lineRule="auto"/>
        <w:jc w:val="both"/>
        <w:rPr>
          <w:b/>
          <w:i/>
          <w:sz w:val="28"/>
        </w:rPr>
      </w:pPr>
      <w:r w:rsidRPr="002E6615">
        <w:rPr>
          <w:b/>
          <w:i/>
          <w:sz w:val="28"/>
        </w:rPr>
        <w:t>Nota 1</w:t>
      </w:r>
      <w:r w:rsidR="00181A72">
        <w:rPr>
          <w:b/>
          <w:i/>
          <w:sz w:val="28"/>
        </w:rPr>
        <w:t>7</w:t>
      </w:r>
      <w:r>
        <w:rPr>
          <w:b/>
          <w:i/>
          <w:sz w:val="28"/>
        </w:rPr>
        <w:t>: Ingresos</w:t>
      </w:r>
    </w:p>
    <w:p w14:paraId="32E760A1" w14:textId="77777777" w:rsidR="00C326BC" w:rsidRPr="00C326BC" w:rsidRDefault="00C326BC" w:rsidP="00757DA1">
      <w:pPr>
        <w:spacing w:line="360" w:lineRule="auto"/>
        <w:jc w:val="both"/>
        <w:rPr>
          <w:i/>
          <w:sz w:val="8"/>
        </w:rPr>
      </w:pPr>
    </w:p>
    <w:p w14:paraId="32E760A2" w14:textId="1EEA1E5D" w:rsidR="00C326BC" w:rsidRPr="002E6615" w:rsidRDefault="00895AD2" w:rsidP="00C326BC">
      <w:pPr>
        <w:spacing w:line="360" w:lineRule="auto"/>
        <w:jc w:val="both"/>
        <w:rPr>
          <w:b/>
          <w:i/>
          <w:sz w:val="28"/>
        </w:rPr>
      </w:pPr>
      <w:r>
        <w:rPr>
          <w:b/>
          <w:i/>
          <w:sz w:val="28"/>
        </w:rPr>
        <w:t>Nota 1</w:t>
      </w:r>
      <w:r w:rsidR="00181A72">
        <w:rPr>
          <w:b/>
          <w:i/>
          <w:sz w:val="28"/>
        </w:rPr>
        <w:t>7</w:t>
      </w:r>
      <w:r>
        <w:rPr>
          <w:b/>
          <w:i/>
          <w:sz w:val="28"/>
        </w:rPr>
        <w:t xml:space="preserve">.1: </w:t>
      </w:r>
      <w:r w:rsidR="00C326BC">
        <w:rPr>
          <w:b/>
          <w:i/>
          <w:sz w:val="28"/>
        </w:rPr>
        <w:t>Transferencias</w:t>
      </w:r>
      <w:r w:rsidR="007A10AF">
        <w:rPr>
          <w:b/>
          <w:i/>
          <w:sz w:val="28"/>
        </w:rPr>
        <w:t xml:space="preserve"> </w:t>
      </w:r>
    </w:p>
    <w:p w14:paraId="32E760A3" w14:textId="7DC8B790" w:rsidR="00C326BC" w:rsidRDefault="00757DA1" w:rsidP="00C326BC">
      <w:pPr>
        <w:spacing w:line="360" w:lineRule="auto"/>
        <w:jc w:val="both"/>
        <w:rPr>
          <w:i/>
        </w:rPr>
      </w:pPr>
      <w:r w:rsidRPr="002E6615">
        <w:rPr>
          <w:i/>
        </w:rPr>
        <w:t xml:space="preserve">Los Ingresos por Contribuciones de la Seguridad Social corresponden al 0.07% de las cotizaciones de los empleadores y empleados al Sistema de Seguridad Social conforme lo establece la Ley 87-01.  Las mismas para los períodos terminados </w:t>
      </w:r>
      <w:r>
        <w:rPr>
          <w:i/>
        </w:rPr>
        <w:t>a</w:t>
      </w:r>
      <w:r w:rsidRPr="00E629CA">
        <w:rPr>
          <w:i/>
        </w:rPr>
        <w:t xml:space="preserve">l </w:t>
      </w:r>
      <w:r w:rsidRPr="00B64446">
        <w:rPr>
          <w:i/>
        </w:rPr>
        <w:t xml:space="preserve">31 de Diciembre </w:t>
      </w:r>
      <w:r>
        <w:rPr>
          <w:rStyle w:val="CarCar"/>
          <w:rFonts w:ascii="Times New Roman" w:hAnsi="Times New Roman" w:cs="Times New Roman"/>
          <w:b w:val="0"/>
          <w:i/>
          <w:sz w:val="24"/>
        </w:rPr>
        <w:t xml:space="preserve">de los años </w:t>
      </w:r>
      <w:proofErr w:type="gramStart"/>
      <w:r w:rsidR="00236FA7" w:rsidRPr="00BD5449">
        <w:rPr>
          <w:rStyle w:val="CarCar"/>
          <w:rFonts w:ascii="Times New Roman" w:hAnsi="Times New Roman" w:cs="Times New Roman"/>
          <w:b w:val="0"/>
          <w:i/>
          <w:sz w:val="24"/>
        </w:rPr>
        <w:t>202</w:t>
      </w:r>
      <w:r w:rsidR="00236FA7">
        <w:rPr>
          <w:rStyle w:val="CarCar"/>
          <w:rFonts w:ascii="Times New Roman" w:hAnsi="Times New Roman" w:cs="Times New Roman"/>
          <w:b w:val="0"/>
          <w:i/>
          <w:sz w:val="24"/>
        </w:rPr>
        <w:t>2</w:t>
      </w:r>
      <w:r w:rsidR="00236FA7" w:rsidRPr="00BD5449">
        <w:rPr>
          <w:rStyle w:val="CarCar"/>
          <w:rFonts w:ascii="Times New Roman" w:hAnsi="Times New Roman" w:cs="Times New Roman"/>
          <w:b w:val="0"/>
          <w:i/>
          <w:sz w:val="24"/>
        </w:rPr>
        <w:t xml:space="preserve">  y</w:t>
      </w:r>
      <w:proofErr w:type="gramEnd"/>
      <w:r w:rsidR="00236FA7" w:rsidRPr="00BD5449">
        <w:rPr>
          <w:rStyle w:val="CarCar"/>
          <w:rFonts w:ascii="Times New Roman" w:hAnsi="Times New Roman" w:cs="Times New Roman"/>
          <w:b w:val="0"/>
          <w:i/>
          <w:sz w:val="24"/>
        </w:rPr>
        <w:t xml:space="preserve">  20</w:t>
      </w:r>
      <w:r w:rsidR="00236FA7">
        <w:rPr>
          <w:rStyle w:val="CarCar"/>
          <w:rFonts w:ascii="Times New Roman" w:hAnsi="Times New Roman" w:cs="Times New Roman"/>
          <w:b w:val="0"/>
          <w:i/>
          <w:sz w:val="24"/>
        </w:rPr>
        <w:t xml:space="preserve">21 </w:t>
      </w:r>
      <w:r w:rsidRPr="008613B5">
        <w:rPr>
          <w:i/>
        </w:rPr>
        <w:t>presenta los siguientes balances</w:t>
      </w:r>
      <w:r>
        <w:rPr>
          <w:i/>
        </w:rPr>
        <w:t xml:space="preserve"> </w:t>
      </w:r>
      <w:r w:rsidR="00CA46D7" w:rsidRPr="00CA46D7">
        <w:rPr>
          <w:i/>
        </w:rPr>
        <w:t>RD$</w:t>
      </w:r>
      <w:r w:rsidR="00D678B1">
        <w:rPr>
          <w:i/>
        </w:rPr>
        <w:t>537,390,14</w:t>
      </w:r>
      <w:r w:rsidR="00B15F8C">
        <w:rPr>
          <w:i/>
        </w:rPr>
        <w:t>2.97</w:t>
      </w:r>
      <w:r w:rsidR="00CA46D7" w:rsidRPr="00CA46D7">
        <w:rPr>
          <w:i/>
        </w:rPr>
        <w:t xml:space="preserve"> y  RD$</w:t>
      </w:r>
      <w:r w:rsidR="00721278">
        <w:rPr>
          <w:i/>
        </w:rPr>
        <w:t>445,112,117.32</w:t>
      </w:r>
      <w:r w:rsidR="00CA46D7" w:rsidRPr="00CA46D7">
        <w:rPr>
          <w:i/>
        </w:rPr>
        <w:t xml:space="preserve"> respectivamente, representando un aumento de 1</w:t>
      </w:r>
      <w:r w:rsidR="00361F3C">
        <w:rPr>
          <w:i/>
        </w:rPr>
        <w:t>7</w:t>
      </w:r>
      <w:r w:rsidR="00CA46D7" w:rsidRPr="00CA46D7">
        <w:rPr>
          <w:i/>
        </w:rPr>
        <w:t>% con relación al periodo anterior.</w:t>
      </w:r>
    </w:p>
    <w:p w14:paraId="65307838" w14:textId="77777777" w:rsidR="00895AD2" w:rsidRDefault="00895AD2" w:rsidP="00C326BC">
      <w:pPr>
        <w:spacing w:line="360" w:lineRule="auto"/>
        <w:jc w:val="both"/>
        <w:rPr>
          <w:i/>
        </w:rPr>
      </w:pPr>
    </w:p>
    <w:p w14:paraId="32E760A5" w14:textId="692F9286" w:rsidR="00C326BC" w:rsidRDefault="007A10AF" w:rsidP="00C326BC">
      <w:pPr>
        <w:spacing w:line="360" w:lineRule="auto"/>
        <w:jc w:val="both"/>
        <w:rPr>
          <w:b/>
          <w:i/>
          <w:sz w:val="28"/>
        </w:rPr>
      </w:pPr>
      <w:r w:rsidRPr="00895AD2">
        <w:rPr>
          <w:b/>
          <w:i/>
          <w:sz w:val="28"/>
        </w:rPr>
        <w:lastRenderedPageBreak/>
        <w:t xml:space="preserve">Nota </w:t>
      </w:r>
      <w:r w:rsidR="00EA3AA5">
        <w:rPr>
          <w:b/>
          <w:i/>
          <w:sz w:val="28"/>
        </w:rPr>
        <w:t>1</w:t>
      </w:r>
      <w:r w:rsidR="00181A72">
        <w:rPr>
          <w:b/>
          <w:i/>
          <w:sz w:val="28"/>
        </w:rPr>
        <w:t>8</w:t>
      </w:r>
      <w:r w:rsidRPr="00895AD2">
        <w:rPr>
          <w:b/>
          <w:i/>
          <w:sz w:val="28"/>
        </w:rPr>
        <w:t>:</w:t>
      </w:r>
      <w:r>
        <w:rPr>
          <w:b/>
          <w:i/>
          <w:sz w:val="28"/>
        </w:rPr>
        <w:t xml:space="preserve"> </w:t>
      </w:r>
      <w:r w:rsidR="00C326BC">
        <w:rPr>
          <w:b/>
          <w:i/>
          <w:sz w:val="28"/>
        </w:rPr>
        <w:t>Recargos, Multas y Otros Ingresos</w:t>
      </w:r>
    </w:p>
    <w:p w14:paraId="32E760A6" w14:textId="246E2249" w:rsidR="00C326BC" w:rsidRPr="00947741" w:rsidRDefault="00C326BC" w:rsidP="00C326BC">
      <w:pPr>
        <w:spacing w:line="360" w:lineRule="auto"/>
        <w:jc w:val="both"/>
        <w:rPr>
          <w:bCs/>
          <w:i/>
          <w:lang w:eastAsia="es-ES"/>
        </w:rPr>
      </w:pPr>
      <w:r w:rsidRPr="002E6615">
        <w:rPr>
          <w:bCs/>
          <w:i/>
          <w:lang w:eastAsia="es-ES"/>
        </w:rPr>
        <w:t xml:space="preserve">Al 31 de Diciembre </w:t>
      </w:r>
      <w:r>
        <w:rPr>
          <w:i/>
        </w:rPr>
        <w:t xml:space="preserve">de los </w:t>
      </w:r>
      <w:proofErr w:type="gramStart"/>
      <w:r>
        <w:rPr>
          <w:i/>
        </w:rPr>
        <w:t xml:space="preserve">años  </w:t>
      </w:r>
      <w:r w:rsidR="00236FA7" w:rsidRPr="00BD5449">
        <w:rPr>
          <w:rStyle w:val="CarCar"/>
          <w:rFonts w:ascii="Times New Roman" w:hAnsi="Times New Roman" w:cs="Times New Roman"/>
          <w:b w:val="0"/>
          <w:i/>
          <w:sz w:val="24"/>
        </w:rPr>
        <w:t>202</w:t>
      </w:r>
      <w:r w:rsidR="00236FA7">
        <w:rPr>
          <w:rStyle w:val="CarCar"/>
          <w:rFonts w:ascii="Times New Roman" w:hAnsi="Times New Roman" w:cs="Times New Roman"/>
          <w:b w:val="0"/>
          <w:i/>
          <w:sz w:val="24"/>
        </w:rPr>
        <w:t>2</w:t>
      </w:r>
      <w:proofErr w:type="gramEnd"/>
      <w:r w:rsidR="00236FA7" w:rsidRPr="00BD5449">
        <w:rPr>
          <w:rStyle w:val="CarCar"/>
          <w:rFonts w:ascii="Times New Roman" w:hAnsi="Times New Roman" w:cs="Times New Roman"/>
          <w:b w:val="0"/>
          <w:i/>
          <w:sz w:val="24"/>
        </w:rPr>
        <w:t xml:space="preserve">  y  20</w:t>
      </w:r>
      <w:r w:rsidR="00236FA7">
        <w:rPr>
          <w:rStyle w:val="CarCar"/>
          <w:rFonts w:ascii="Times New Roman" w:hAnsi="Times New Roman" w:cs="Times New Roman"/>
          <w:b w:val="0"/>
          <w:i/>
          <w:sz w:val="24"/>
        </w:rPr>
        <w:t>21</w:t>
      </w:r>
      <w:r w:rsidRPr="008462CA">
        <w:rPr>
          <w:i/>
        </w:rPr>
        <w:t xml:space="preserve">, </w:t>
      </w:r>
      <w:r w:rsidRPr="008462CA">
        <w:rPr>
          <w:bCs/>
          <w:i/>
          <w:lang w:eastAsia="es-ES"/>
        </w:rPr>
        <w:t xml:space="preserve">el total de </w:t>
      </w:r>
      <w:r w:rsidRPr="00D30F3E">
        <w:rPr>
          <w:bCs/>
          <w:i/>
          <w:lang w:eastAsia="es-ES"/>
        </w:rPr>
        <w:t xml:space="preserve">Recargos, Multas y Otros Ingresos </w:t>
      </w:r>
      <w:r w:rsidRPr="008462CA">
        <w:rPr>
          <w:bCs/>
          <w:i/>
          <w:lang w:eastAsia="es-ES"/>
        </w:rPr>
        <w:t>ascendieron a  RD$</w:t>
      </w:r>
      <w:r w:rsidR="00680E24">
        <w:rPr>
          <w:bCs/>
          <w:i/>
          <w:lang w:eastAsia="es-ES"/>
        </w:rPr>
        <w:t>5,058,819.07</w:t>
      </w:r>
      <w:r w:rsidR="00CB742A">
        <w:rPr>
          <w:bCs/>
          <w:i/>
          <w:lang w:eastAsia="es-ES"/>
        </w:rPr>
        <w:t xml:space="preserve"> </w:t>
      </w:r>
      <w:r w:rsidRPr="008462CA">
        <w:rPr>
          <w:bCs/>
          <w:i/>
          <w:lang w:eastAsia="es-ES"/>
        </w:rPr>
        <w:t>y RD$</w:t>
      </w:r>
      <w:r w:rsidR="00CB742A">
        <w:rPr>
          <w:bCs/>
          <w:i/>
          <w:lang w:eastAsia="es-ES"/>
        </w:rPr>
        <w:t xml:space="preserve"> </w:t>
      </w:r>
      <w:r w:rsidR="000D039A" w:rsidRPr="000D039A">
        <w:rPr>
          <w:bCs/>
          <w:i/>
          <w:lang w:eastAsia="es-ES"/>
        </w:rPr>
        <w:t>2,027,466.11</w:t>
      </w:r>
      <w:r w:rsidRPr="008462CA">
        <w:rPr>
          <w:bCs/>
          <w:i/>
          <w:lang w:eastAsia="es-ES"/>
        </w:rPr>
        <w:t>según el siguiente detalle:</w:t>
      </w:r>
    </w:p>
    <w:p w14:paraId="32E760A7" w14:textId="276FADEE" w:rsidR="00C326BC" w:rsidRPr="008462CA" w:rsidRDefault="00C326BC" w:rsidP="00C326BC">
      <w:pPr>
        <w:spacing w:line="360" w:lineRule="auto"/>
        <w:rPr>
          <w:b/>
          <w:i/>
        </w:rPr>
      </w:pPr>
      <w:r w:rsidRPr="008462CA">
        <w:rPr>
          <w:b/>
          <w:i/>
        </w:rPr>
        <w:t>Descripción</w:t>
      </w:r>
      <w:r w:rsidRPr="008462CA">
        <w:rPr>
          <w:b/>
          <w:i/>
        </w:rPr>
        <w:tab/>
      </w:r>
      <w:r w:rsidRPr="008462CA">
        <w:rPr>
          <w:b/>
          <w:i/>
        </w:rPr>
        <w:tab/>
      </w:r>
      <w:r w:rsidRPr="008462CA">
        <w:rPr>
          <w:b/>
          <w:i/>
        </w:rPr>
        <w:tab/>
      </w:r>
      <w:r w:rsidRPr="008462CA">
        <w:rPr>
          <w:b/>
          <w:i/>
        </w:rPr>
        <w:tab/>
      </w:r>
      <w:r w:rsidRPr="008462CA">
        <w:rPr>
          <w:b/>
          <w:i/>
        </w:rPr>
        <w:tab/>
      </w:r>
      <w:r w:rsidRPr="008462CA">
        <w:rPr>
          <w:b/>
          <w:i/>
        </w:rPr>
        <w:tab/>
        <w:t xml:space="preserve"> </w:t>
      </w:r>
      <w:r w:rsidRPr="008462CA">
        <w:rPr>
          <w:b/>
          <w:i/>
        </w:rPr>
        <w:tab/>
      </w:r>
      <w:r w:rsidR="001F7844">
        <w:rPr>
          <w:b/>
          <w:i/>
        </w:rPr>
        <w:t>2022</w:t>
      </w:r>
      <w:r w:rsidR="001F7844">
        <w:rPr>
          <w:b/>
          <w:i/>
        </w:rPr>
        <w:tab/>
      </w:r>
      <w:r w:rsidR="001F7844">
        <w:rPr>
          <w:b/>
          <w:i/>
        </w:rPr>
        <w:tab/>
        <w:t xml:space="preserve">    2021</w:t>
      </w:r>
    </w:p>
    <w:tbl>
      <w:tblPr>
        <w:tblW w:w="10134" w:type="dxa"/>
        <w:tblInd w:w="93" w:type="dxa"/>
        <w:tblLook w:val="04A0" w:firstRow="1" w:lastRow="0" w:firstColumn="1" w:lastColumn="0" w:noHBand="0" w:noVBand="1"/>
      </w:tblPr>
      <w:tblGrid>
        <w:gridCol w:w="4900"/>
        <w:gridCol w:w="1810"/>
        <w:gridCol w:w="1712"/>
        <w:gridCol w:w="1712"/>
      </w:tblGrid>
      <w:tr w:rsidR="002B4BF2" w:rsidRPr="008462CA" w14:paraId="32E760AB" w14:textId="77777777" w:rsidTr="001217A9">
        <w:trPr>
          <w:trHeight w:val="219"/>
        </w:trPr>
        <w:tc>
          <w:tcPr>
            <w:tcW w:w="4900" w:type="dxa"/>
            <w:shd w:val="clear" w:color="auto" w:fill="auto"/>
            <w:noWrap/>
            <w:vAlign w:val="center"/>
          </w:tcPr>
          <w:p w14:paraId="32E760A8" w14:textId="77777777" w:rsidR="002B4BF2" w:rsidRPr="008462CA" w:rsidRDefault="002B4BF2" w:rsidP="007949F7">
            <w:pPr>
              <w:spacing w:line="276" w:lineRule="auto"/>
              <w:jc w:val="both"/>
              <w:rPr>
                <w:i/>
                <w:color w:val="000000"/>
              </w:rPr>
            </w:pPr>
            <w:r>
              <w:rPr>
                <w:i/>
                <w:color w:val="000000"/>
              </w:rPr>
              <w:t>Intereses percibidos</w:t>
            </w:r>
          </w:p>
        </w:tc>
        <w:tc>
          <w:tcPr>
            <w:tcW w:w="1810" w:type="dxa"/>
            <w:shd w:val="clear" w:color="auto" w:fill="auto"/>
            <w:noWrap/>
            <w:vAlign w:val="center"/>
          </w:tcPr>
          <w:p w14:paraId="32E760A9" w14:textId="739BCD97" w:rsidR="002B4BF2" w:rsidRPr="008462CA" w:rsidRDefault="00CD51CC" w:rsidP="007949F7">
            <w:pPr>
              <w:spacing w:line="276" w:lineRule="auto"/>
              <w:jc w:val="right"/>
              <w:rPr>
                <w:i/>
                <w:color w:val="000000"/>
              </w:rPr>
            </w:pPr>
            <w:r>
              <w:rPr>
                <w:i/>
                <w:color w:val="000000"/>
              </w:rPr>
              <w:t>3,368,831.36</w:t>
            </w:r>
          </w:p>
        </w:tc>
        <w:tc>
          <w:tcPr>
            <w:tcW w:w="1712" w:type="dxa"/>
            <w:vAlign w:val="center"/>
          </w:tcPr>
          <w:p w14:paraId="35CC7D02" w14:textId="6FE35551" w:rsidR="002B4BF2" w:rsidRPr="00CB742A" w:rsidRDefault="002B4BF2" w:rsidP="007949F7">
            <w:pPr>
              <w:spacing w:line="276" w:lineRule="auto"/>
              <w:jc w:val="right"/>
              <w:rPr>
                <w:i/>
                <w:color w:val="000000"/>
              </w:rPr>
            </w:pPr>
            <w:r>
              <w:rPr>
                <w:i/>
                <w:color w:val="000000"/>
              </w:rPr>
              <w:t>1,165,305.79</w:t>
            </w:r>
          </w:p>
        </w:tc>
        <w:tc>
          <w:tcPr>
            <w:tcW w:w="1712" w:type="dxa"/>
            <w:shd w:val="clear" w:color="auto" w:fill="auto"/>
            <w:noWrap/>
          </w:tcPr>
          <w:p w14:paraId="32E760AA" w14:textId="7E88D62F" w:rsidR="002B4BF2" w:rsidRPr="00CB742A" w:rsidRDefault="002B4BF2" w:rsidP="007949F7">
            <w:pPr>
              <w:spacing w:line="276" w:lineRule="auto"/>
              <w:jc w:val="right"/>
              <w:rPr>
                <w:i/>
                <w:color w:val="000000"/>
              </w:rPr>
            </w:pPr>
          </w:p>
        </w:tc>
      </w:tr>
      <w:tr w:rsidR="002B4BF2" w:rsidRPr="008462CA" w14:paraId="32E760B3" w14:textId="77777777" w:rsidTr="001217A9">
        <w:trPr>
          <w:trHeight w:val="213"/>
        </w:trPr>
        <w:tc>
          <w:tcPr>
            <w:tcW w:w="4900" w:type="dxa"/>
            <w:shd w:val="clear" w:color="auto" w:fill="auto"/>
            <w:noWrap/>
            <w:vAlign w:val="center"/>
          </w:tcPr>
          <w:p w14:paraId="32E760B0" w14:textId="77777777" w:rsidR="002B4BF2" w:rsidRPr="008462CA" w:rsidRDefault="002B4BF2" w:rsidP="007949F7">
            <w:pPr>
              <w:spacing w:line="276" w:lineRule="auto"/>
              <w:jc w:val="both"/>
              <w:rPr>
                <w:i/>
                <w:color w:val="000000"/>
              </w:rPr>
            </w:pPr>
            <w:r>
              <w:rPr>
                <w:i/>
                <w:color w:val="000000"/>
              </w:rPr>
              <w:t>Otros Ingresos</w:t>
            </w:r>
          </w:p>
        </w:tc>
        <w:tc>
          <w:tcPr>
            <w:tcW w:w="1810" w:type="dxa"/>
            <w:shd w:val="clear" w:color="auto" w:fill="auto"/>
            <w:noWrap/>
            <w:vAlign w:val="center"/>
          </w:tcPr>
          <w:p w14:paraId="32E760B1" w14:textId="5DC06472" w:rsidR="002B4BF2" w:rsidRPr="00CA46D7" w:rsidRDefault="002B4BF2" w:rsidP="007949F7">
            <w:pPr>
              <w:spacing w:line="276" w:lineRule="auto"/>
              <w:jc w:val="right"/>
              <w:rPr>
                <w:i/>
                <w:color w:val="000000"/>
                <w:u w:val="single"/>
              </w:rPr>
            </w:pPr>
            <w:r w:rsidRPr="00CA46D7">
              <w:rPr>
                <w:i/>
                <w:color w:val="000000"/>
                <w:u w:val="single"/>
              </w:rPr>
              <w:t xml:space="preserve">     </w:t>
            </w:r>
            <w:r w:rsidR="00CD51CC">
              <w:rPr>
                <w:i/>
                <w:color w:val="000000"/>
                <w:u w:val="single"/>
              </w:rPr>
              <w:t>1,</w:t>
            </w:r>
            <w:r w:rsidR="00143312">
              <w:rPr>
                <w:i/>
                <w:color w:val="000000"/>
                <w:u w:val="single"/>
              </w:rPr>
              <w:t>689</w:t>
            </w:r>
            <w:r w:rsidR="00751330">
              <w:rPr>
                <w:i/>
                <w:color w:val="000000"/>
                <w:u w:val="single"/>
              </w:rPr>
              <w:t>,</w:t>
            </w:r>
            <w:r w:rsidR="00143312">
              <w:rPr>
                <w:i/>
                <w:color w:val="000000"/>
                <w:u w:val="single"/>
              </w:rPr>
              <w:t>971.71</w:t>
            </w:r>
          </w:p>
        </w:tc>
        <w:tc>
          <w:tcPr>
            <w:tcW w:w="1712" w:type="dxa"/>
            <w:vAlign w:val="center"/>
          </w:tcPr>
          <w:p w14:paraId="1A9370E8" w14:textId="34CD2399" w:rsidR="002B4BF2" w:rsidRPr="00CA46D7" w:rsidRDefault="00751330" w:rsidP="007949F7">
            <w:pPr>
              <w:spacing w:line="276" w:lineRule="auto"/>
              <w:jc w:val="right"/>
              <w:rPr>
                <w:i/>
                <w:color w:val="000000"/>
                <w:u w:val="single"/>
              </w:rPr>
            </w:pPr>
            <w:r>
              <w:rPr>
                <w:i/>
                <w:color w:val="000000"/>
                <w:u w:val="single"/>
              </w:rPr>
              <w:t>862,160.32</w:t>
            </w:r>
          </w:p>
        </w:tc>
        <w:tc>
          <w:tcPr>
            <w:tcW w:w="1712" w:type="dxa"/>
            <w:shd w:val="clear" w:color="auto" w:fill="auto"/>
            <w:noWrap/>
          </w:tcPr>
          <w:p w14:paraId="32E760B2" w14:textId="75B44BD9" w:rsidR="002B4BF2" w:rsidRPr="00CA46D7" w:rsidRDefault="002B4BF2" w:rsidP="007949F7">
            <w:pPr>
              <w:spacing w:line="276" w:lineRule="auto"/>
              <w:jc w:val="right"/>
              <w:rPr>
                <w:i/>
                <w:color w:val="000000"/>
                <w:u w:val="single"/>
              </w:rPr>
            </w:pPr>
          </w:p>
        </w:tc>
      </w:tr>
      <w:tr w:rsidR="002B4BF2" w:rsidRPr="002E6615" w14:paraId="32E760B7" w14:textId="77777777" w:rsidTr="002B4BF2">
        <w:trPr>
          <w:trHeight w:val="203"/>
        </w:trPr>
        <w:tc>
          <w:tcPr>
            <w:tcW w:w="4900" w:type="dxa"/>
            <w:shd w:val="clear" w:color="auto" w:fill="auto"/>
            <w:noWrap/>
            <w:vAlign w:val="center"/>
            <w:hideMark/>
          </w:tcPr>
          <w:p w14:paraId="32E760B4" w14:textId="77777777" w:rsidR="002B4BF2" w:rsidRPr="008462CA" w:rsidRDefault="002B4BF2" w:rsidP="007949F7">
            <w:pPr>
              <w:spacing w:line="276" w:lineRule="auto"/>
              <w:rPr>
                <w:i/>
                <w:color w:val="000000"/>
              </w:rPr>
            </w:pPr>
            <w:proofErr w:type="gramStart"/>
            <w:r w:rsidRPr="008462CA">
              <w:rPr>
                <w:b/>
                <w:i/>
                <w:color w:val="000000"/>
              </w:rPr>
              <w:t>Total</w:t>
            </w:r>
            <w:proofErr w:type="gramEnd"/>
            <w:r w:rsidRPr="008462CA">
              <w:rPr>
                <w:b/>
                <w:i/>
                <w:color w:val="000000"/>
              </w:rPr>
              <w:t xml:space="preserve"> de </w:t>
            </w:r>
            <w:r w:rsidRPr="00D30F3E">
              <w:rPr>
                <w:b/>
                <w:i/>
                <w:color w:val="000000"/>
              </w:rPr>
              <w:t>Recargos, Multas y Otros Ingresos</w:t>
            </w:r>
          </w:p>
        </w:tc>
        <w:tc>
          <w:tcPr>
            <w:tcW w:w="1810" w:type="dxa"/>
            <w:shd w:val="clear" w:color="auto" w:fill="auto"/>
            <w:noWrap/>
            <w:vAlign w:val="center"/>
            <w:hideMark/>
          </w:tcPr>
          <w:p w14:paraId="32E760B5" w14:textId="4B34EFFE" w:rsidR="002B4BF2" w:rsidRPr="008462CA" w:rsidRDefault="002B4BF2" w:rsidP="007949F7">
            <w:pPr>
              <w:spacing w:line="276" w:lineRule="auto"/>
              <w:jc w:val="right"/>
              <w:rPr>
                <w:i/>
                <w:color w:val="000000"/>
                <w:u w:val="double"/>
              </w:rPr>
            </w:pPr>
            <w:r>
              <w:rPr>
                <w:b/>
                <w:i/>
                <w:color w:val="000000"/>
                <w:u w:val="double"/>
              </w:rPr>
              <w:t xml:space="preserve">  </w:t>
            </w:r>
            <w:r w:rsidR="00076E0C">
              <w:rPr>
                <w:b/>
                <w:i/>
                <w:color w:val="000000"/>
                <w:u w:val="double"/>
              </w:rPr>
              <w:t>5,058,819.07</w:t>
            </w:r>
          </w:p>
        </w:tc>
        <w:tc>
          <w:tcPr>
            <w:tcW w:w="1712" w:type="dxa"/>
            <w:vAlign w:val="center"/>
          </w:tcPr>
          <w:p w14:paraId="6BC6E440" w14:textId="50966235" w:rsidR="002B4BF2" w:rsidRPr="00CA46D7" w:rsidRDefault="002B4BF2" w:rsidP="007949F7">
            <w:pPr>
              <w:spacing w:line="276" w:lineRule="auto"/>
              <w:jc w:val="right"/>
              <w:rPr>
                <w:b/>
                <w:i/>
                <w:color w:val="000000"/>
                <w:u w:val="double"/>
              </w:rPr>
            </w:pPr>
            <w:r>
              <w:rPr>
                <w:b/>
                <w:i/>
                <w:color w:val="000000"/>
                <w:u w:val="double"/>
              </w:rPr>
              <w:t xml:space="preserve">  2</w:t>
            </w:r>
            <w:r w:rsidRPr="00746370">
              <w:rPr>
                <w:b/>
                <w:i/>
                <w:color w:val="000000"/>
                <w:u w:val="double"/>
              </w:rPr>
              <w:t>,</w:t>
            </w:r>
            <w:r>
              <w:rPr>
                <w:b/>
                <w:i/>
                <w:color w:val="000000"/>
                <w:u w:val="double"/>
              </w:rPr>
              <w:t>027,466</w:t>
            </w:r>
            <w:r w:rsidRPr="00746370">
              <w:rPr>
                <w:b/>
                <w:i/>
                <w:color w:val="000000"/>
                <w:u w:val="double"/>
              </w:rPr>
              <w:t>.1</w:t>
            </w:r>
            <w:r>
              <w:rPr>
                <w:b/>
                <w:i/>
                <w:color w:val="000000"/>
                <w:u w:val="double"/>
              </w:rPr>
              <w:t>1</w:t>
            </w:r>
          </w:p>
        </w:tc>
        <w:tc>
          <w:tcPr>
            <w:tcW w:w="1712" w:type="dxa"/>
            <w:shd w:val="clear" w:color="auto" w:fill="auto"/>
            <w:noWrap/>
          </w:tcPr>
          <w:p w14:paraId="32E760B6" w14:textId="20CEBE44" w:rsidR="002B4BF2" w:rsidRPr="00CA46D7" w:rsidRDefault="002B4BF2" w:rsidP="007949F7">
            <w:pPr>
              <w:spacing w:line="276" w:lineRule="auto"/>
              <w:jc w:val="right"/>
              <w:rPr>
                <w:b/>
                <w:i/>
                <w:color w:val="000000"/>
                <w:u w:val="double"/>
              </w:rPr>
            </w:pPr>
          </w:p>
        </w:tc>
      </w:tr>
    </w:tbl>
    <w:p w14:paraId="32E760B8" w14:textId="77777777" w:rsidR="00C326BC" w:rsidRPr="00CB742A" w:rsidRDefault="00C326BC" w:rsidP="007949F7">
      <w:pPr>
        <w:spacing w:line="276" w:lineRule="auto"/>
        <w:jc w:val="both"/>
        <w:rPr>
          <w:b/>
          <w:i/>
        </w:rPr>
      </w:pPr>
    </w:p>
    <w:p w14:paraId="32E760C1" w14:textId="77777777" w:rsidR="00757DA1" w:rsidRPr="002E6615" w:rsidRDefault="00757DA1" w:rsidP="00757DA1">
      <w:pPr>
        <w:spacing w:line="360" w:lineRule="auto"/>
        <w:jc w:val="both"/>
        <w:rPr>
          <w:b/>
          <w:i/>
          <w:sz w:val="28"/>
        </w:rPr>
      </w:pPr>
      <w:r>
        <w:rPr>
          <w:b/>
          <w:i/>
          <w:sz w:val="28"/>
        </w:rPr>
        <w:t>G</w:t>
      </w:r>
      <w:r w:rsidRPr="002E6615">
        <w:rPr>
          <w:b/>
          <w:i/>
          <w:sz w:val="28"/>
        </w:rPr>
        <w:t>ASTOS</w:t>
      </w:r>
    </w:p>
    <w:p w14:paraId="32E760C2" w14:textId="0292222C" w:rsidR="00746370" w:rsidRPr="002E6615" w:rsidRDefault="00746370" w:rsidP="00746370">
      <w:pPr>
        <w:spacing w:line="360" w:lineRule="auto"/>
        <w:jc w:val="both"/>
        <w:rPr>
          <w:b/>
          <w:i/>
          <w:sz w:val="28"/>
        </w:rPr>
      </w:pPr>
      <w:r w:rsidRPr="00BE68A9">
        <w:rPr>
          <w:b/>
          <w:i/>
          <w:sz w:val="28"/>
        </w:rPr>
        <w:t xml:space="preserve">Nota </w:t>
      </w:r>
      <w:r w:rsidR="00EA5EE6">
        <w:rPr>
          <w:b/>
          <w:i/>
          <w:sz w:val="28"/>
        </w:rPr>
        <w:t>19</w:t>
      </w:r>
      <w:r w:rsidRPr="00BE68A9">
        <w:rPr>
          <w:b/>
          <w:i/>
          <w:sz w:val="28"/>
        </w:rPr>
        <w:t>:</w:t>
      </w:r>
      <w:r>
        <w:rPr>
          <w:b/>
          <w:i/>
          <w:sz w:val="28"/>
        </w:rPr>
        <w:t xml:space="preserve"> Sueldos, Salarios y Beneficios a empleados</w:t>
      </w:r>
    </w:p>
    <w:p w14:paraId="32E760C3" w14:textId="369ADBAB" w:rsidR="00757DA1" w:rsidRDefault="00757DA1" w:rsidP="00757DA1">
      <w:pPr>
        <w:spacing w:line="360" w:lineRule="auto"/>
        <w:jc w:val="both"/>
        <w:rPr>
          <w:rStyle w:val="CarCar"/>
          <w:rFonts w:ascii="Times New Roman" w:hAnsi="Times New Roman" w:cs="Times New Roman"/>
          <w:b w:val="0"/>
          <w:i/>
          <w:sz w:val="24"/>
        </w:rPr>
      </w:pPr>
      <w:r w:rsidRPr="002E6615">
        <w:rPr>
          <w:rStyle w:val="CarCar"/>
          <w:rFonts w:ascii="Times New Roman" w:hAnsi="Times New Roman" w:cs="Times New Roman"/>
          <w:b w:val="0"/>
          <w:i/>
          <w:sz w:val="24"/>
        </w:rPr>
        <w:t xml:space="preserve">Durante los períodos  terminados </w:t>
      </w:r>
      <w:r>
        <w:rPr>
          <w:bCs/>
          <w:i/>
          <w:lang w:eastAsia="es-ES"/>
        </w:rPr>
        <w:t>a</w:t>
      </w:r>
      <w:r w:rsidRPr="00002042">
        <w:rPr>
          <w:bCs/>
          <w:i/>
          <w:lang w:eastAsia="es-ES"/>
        </w:rPr>
        <w:t xml:space="preserve">l </w:t>
      </w:r>
      <w:r w:rsidRPr="00B64446">
        <w:rPr>
          <w:bCs/>
          <w:i/>
          <w:lang w:eastAsia="es-ES"/>
        </w:rPr>
        <w:t xml:space="preserve">31 de Diciembre </w:t>
      </w:r>
      <w:r w:rsidRPr="002E6615">
        <w:rPr>
          <w:rStyle w:val="CarCar"/>
          <w:rFonts w:ascii="Times New Roman" w:hAnsi="Times New Roman" w:cs="Times New Roman"/>
          <w:b w:val="0"/>
          <w:i/>
          <w:sz w:val="24"/>
        </w:rPr>
        <w:t xml:space="preserve">de los años  </w:t>
      </w:r>
      <w:r w:rsidR="00236FA7" w:rsidRPr="00BD5449">
        <w:rPr>
          <w:rStyle w:val="CarCar"/>
          <w:rFonts w:ascii="Times New Roman" w:hAnsi="Times New Roman" w:cs="Times New Roman"/>
          <w:b w:val="0"/>
          <w:i/>
          <w:sz w:val="24"/>
        </w:rPr>
        <w:t>202</w:t>
      </w:r>
      <w:r w:rsidR="00236FA7">
        <w:rPr>
          <w:rStyle w:val="CarCar"/>
          <w:rFonts w:ascii="Times New Roman" w:hAnsi="Times New Roman" w:cs="Times New Roman"/>
          <w:b w:val="0"/>
          <w:i/>
          <w:sz w:val="24"/>
        </w:rPr>
        <w:t>2</w:t>
      </w:r>
      <w:r w:rsidR="00236FA7" w:rsidRPr="00BD5449">
        <w:rPr>
          <w:rStyle w:val="CarCar"/>
          <w:rFonts w:ascii="Times New Roman" w:hAnsi="Times New Roman" w:cs="Times New Roman"/>
          <w:b w:val="0"/>
          <w:i/>
          <w:sz w:val="24"/>
        </w:rPr>
        <w:t xml:space="preserve">  y  20</w:t>
      </w:r>
      <w:r w:rsidR="00236FA7">
        <w:rPr>
          <w:rStyle w:val="CarCar"/>
          <w:rFonts w:ascii="Times New Roman" w:hAnsi="Times New Roman" w:cs="Times New Roman"/>
          <w:b w:val="0"/>
          <w:i/>
          <w:sz w:val="24"/>
        </w:rPr>
        <w:t>21</w:t>
      </w:r>
      <w:r>
        <w:rPr>
          <w:rStyle w:val="CarCar"/>
          <w:rFonts w:ascii="Times New Roman" w:hAnsi="Times New Roman" w:cs="Times New Roman"/>
          <w:b w:val="0"/>
          <w:i/>
          <w:sz w:val="24"/>
        </w:rPr>
        <w:t xml:space="preserve">, </w:t>
      </w:r>
      <w:r w:rsidRPr="002E6615">
        <w:rPr>
          <w:rStyle w:val="CarCar"/>
          <w:rFonts w:ascii="Times New Roman" w:hAnsi="Times New Roman" w:cs="Times New Roman"/>
          <w:b w:val="0"/>
          <w:i/>
          <w:sz w:val="24"/>
        </w:rPr>
        <w:t xml:space="preserve">los gastos por conceptos de Remuneraciones y Gastos del Personal totalizan </w:t>
      </w:r>
      <w:r w:rsidR="00CB742A" w:rsidRPr="00CB742A">
        <w:rPr>
          <w:rStyle w:val="CarCar"/>
          <w:rFonts w:ascii="Times New Roman" w:hAnsi="Times New Roman" w:cs="Times New Roman"/>
          <w:b w:val="0"/>
          <w:i/>
          <w:sz w:val="24"/>
        </w:rPr>
        <w:t>RD$</w:t>
      </w:r>
      <w:r w:rsidR="002071B3">
        <w:rPr>
          <w:rStyle w:val="CarCar"/>
          <w:rFonts w:ascii="Times New Roman" w:hAnsi="Times New Roman" w:cs="Times New Roman"/>
          <w:b w:val="0"/>
          <w:i/>
          <w:sz w:val="24"/>
        </w:rPr>
        <w:t>439,436,649.85</w:t>
      </w:r>
      <w:r w:rsidR="00CB742A" w:rsidRPr="00CB742A">
        <w:rPr>
          <w:rStyle w:val="CarCar"/>
          <w:rFonts w:ascii="Times New Roman" w:hAnsi="Times New Roman" w:cs="Times New Roman"/>
          <w:b w:val="0"/>
          <w:i/>
          <w:sz w:val="24"/>
        </w:rPr>
        <w:t xml:space="preserve"> y RD$</w:t>
      </w:r>
      <w:r w:rsidR="00B55F44">
        <w:rPr>
          <w:rStyle w:val="CarCar"/>
          <w:rFonts w:ascii="Times New Roman" w:hAnsi="Times New Roman" w:cs="Times New Roman"/>
          <w:b w:val="0"/>
          <w:i/>
          <w:sz w:val="24"/>
        </w:rPr>
        <w:t>396,788,080.15</w:t>
      </w:r>
      <w:r w:rsidR="00651AF3">
        <w:rPr>
          <w:rStyle w:val="CarCar"/>
          <w:rFonts w:ascii="Times New Roman" w:hAnsi="Times New Roman" w:cs="Times New Roman"/>
          <w:b w:val="0"/>
          <w:i/>
          <w:sz w:val="24"/>
        </w:rPr>
        <w:t>, Esto está</w:t>
      </w:r>
      <w:r w:rsidR="00CB742A" w:rsidRPr="00CB742A">
        <w:rPr>
          <w:rStyle w:val="CarCar"/>
          <w:rFonts w:ascii="Times New Roman" w:hAnsi="Times New Roman" w:cs="Times New Roman"/>
          <w:b w:val="0"/>
          <w:i/>
          <w:sz w:val="24"/>
        </w:rPr>
        <w:t xml:space="preserve"> presentando un aumento de RD$</w:t>
      </w:r>
      <w:r w:rsidR="00651AF3">
        <w:rPr>
          <w:rStyle w:val="CarCar"/>
          <w:rFonts w:ascii="Times New Roman" w:hAnsi="Times New Roman" w:cs="Times New Roman"/>
          <w:b w:val="0"/>
          <w:i/>
          <w:sz w:val="24"/>
        </w:rPr>
        <w:t>42,648,569.70</w:t>
      </w:r>
      <w:r w:rsidR="00CB742A" w:rsidRPr="00CB742A">
        <w:rPr>
          <w:rStyle w:val="CarCar"/>
          <w:rFonts w:ascii="Times New Roman" w:hAnsi="Times New Roman" w:cs="Times New Roman"/>
          <w:b w:val="0"/>
          <w:i/>
          <w:sz w:val="24"/>
        </w:rPr>
        <w:t xml:space="preserve"> equivalente a un </w:t>
      </w:r>
      <w:r w:rsidR="00651AF3">
        <w:rPr>
          <w:rStyle w:val="CarCar"/>
          <w:rFonts w:ascii="Times New Roman" w:hAnsi="Times New Roman" w:cs="Times New Roman"/>
          <w:b w:val="0"/>
          <w:i/>
          <w:sz w:val="24"/>
        </w:rPr>
        <w:t>10</w:t>
      </w:r>
      <w:r w:rsidR="00CB742A" w:rsidRPr="00CB742A">
        <w:rPr>
          <w:rStyle w:val="CarCar"/>
          <w:rFonts w:ascii="Times New Roman" w:hAnsi="Times New Roman" w:cs="Times New Roman"/>
          <w:b w:val="0"/>
          <w:i/>
          <w:sz w:val="24"/>
        </w:rPr>
        <w:t>% según el siguiente detalle:</w:t>
      </w:r>
    </w:p>
    <w:p w14:paraId="42C32615" w14:textId="77777777" w:rsidR="001716B0" w:rsidRDefault="001716B0" w:rsidP="00757DA1">
      <w:pPr>
        <w:spacing w:line="360" w:lineRule="auto"/>
        <w:jc w:val="both"/>
        <w:rPr>
          <w:rStyle w:val="CarCar"/>
          <w:rFonts w:ascii="Times New Roman" w:hAnsi="Times New Roman" w:cs="Times New Roman"/>
          <w:b w:val="0"/>
          <w:i/>
          <w:sz w:val="24"/>
        </w:rPr>
      </w:pPr>
    </w:p>
    <w:p w14:paraId="315FD984" w14:textId="77777777" w:rsidR="0050059E" w:rsidRPr="000E6194" w:rsidRDefault="0050059E" w:rsidP="00757DA1">
      <w:pPr>
        <w:spacing w:line="360" w:lineRule="auto"/>
        <w:jc w:val="both"/>
        <w:rPr>
          <w:b/>
          <w:i/>
          <w:sz w:val="2"/>
        </w:rPr>
      </w:pPr>
    </w:p>
    <w:p w14:paraId="32E760C4" w14:textId="2FC946DD" w:rsidR="00757DA1" w:rsidRPr="006D1677" w:rsidRDefault="00757DA1" w:rsidP="007949F7">
      <w:pPr>
        <w:spacing w:line="360" w:lineRule="auto"/>
        <w:jc w:val="both"/>
        <w:rPr>
          <w:b/>
          <w:i/>
        </w:rPr>
      </w:pPr>
      <w:r>
        <w:rPr>
          <w:b/>
          <w:i/>
        </w:rPr>
        <w:t>P</w:t>
      </w:r>
      <w:r w:rsidRPr="006D1677">
        <w:rPr>
          <w:b/>
          <w:i/>
        </w:rPr>
        <w:t>ARTIDAS</w:t>
      </w:r>
      <w:r w:rsidR="00CB742A">
        <w:rPr>
          <w:i/>
        </w:rPr>
        <w:tab/>
      </w:r>
      <w:r w:rsidR="00CB742A">
        <w:rPr>
          <w:i/>
        </w:rPr>
        <w:tab/>
      </w:r>
      <w:r w:rsidR="00CB742A">
        <w:rPr>
          <w:i/>
        </w:rPr>
        <w:tab/>
      </w:r>
      <w:r w:rsidR="00CB742A">
        <w:rPr>
          <w:i/>
        </w:rPr>
        <w:tab/>
      </w:r>
      <w:r w:rsidR="00CB742A">
        <w:rPr>
          <w:i/>
        </w:rPr>
        <w:tab/>
      </w:r>
      <w:r w:rsidR="00CB742A">
        <w:rPr>
          <w:i/>
        </w:rPr>
        <w:tab/>
      </w:r>
      <w:r w:rsidR="001F7844">
        <w:rPr>
          <w:i/>
        </w:rPr>
        <w:tab/>
      </w:r>
      <w:r w:rsidR="001F7844">
        <w:rPr>
          <w:b/>
          <w:i/>
        </w:rPr>
        <w:t>2022</w:t>
      </w:r>
      <w:r w:rsidR="001F7844">
        <w:rPr>
          <w:b/>
          <w:i/>
        </w:rPr>
        <w:tab/>
      </w:r>
      <w:r w:rsidR="001F7844">
        <w:rPr>
          <w:b/>
          <w:i/>
        </w:rPr>
        <w:tab/>
        <w:t xml:space="preserve">    2021</w:t>
      </w:r>
    </w:p>
    <w:tbl>
      <w:tblPr>
        <w:tblW w:w="10070" w:type="dxa"/>
        <w:tblInd w:w="55" w:type="dxa"/>
        <w:tblCellMar>
          <w:left w:w="70" w:type="dxa"/>
          <w:right w:w="70" w:type="dxa"/>
        </w:tblCellMar>
        <w:tblLook w:val="04A0" w:firstRow="1" w:lastRow="0" w:firstColumn="1" w:lastColumn="0" w:noHBand="0" w:noVBand="1"/>
      </w:tblPr>
      <w:tblGrid>
        <w:gridCol w:w="5150"/>
        <w:gridCol w:w="1640"/>
        <w:gridCol w:w="1640"/>
        <w:gridCol w:w="1640"/>
      </w:tblGrid>
      <w:tr w:rsidR="00A306D7" w14:paraId="32E760C8" w14:textId="77777777" w:rsidTr="00A306D7">
        <w:trPr>
          <w:trHeight w:val="282"/>
        </w:trPr>
        <w:tc>
          <w:tcPr>
            <w:tcW w:w="5150" w:type="dxa"/>
            <w:tcBorders>
              <w:top w:val="nil"/>
              <w:left w:val="nil"/>
              <w:bottom w:val="nil"/>
              <w:right w:val="nil"/>
            </w:tcBorders>
            <w:shd w:val="clear" w:color="auto" w:fill="auto"/>
            <w:noWrap/>
            <w:hideMark/>
          </w:tcPr>
          <w:p w14:paraId="32E760C5" w14:textId="77777777" w:rsidR="00A306D7" w:rsidRDefault="00A306D7" w:rsidP="007949F7">
            <w:pPr>
              <w:spacing w:line="360" w:lineRule="auto"/>
              <w:rPr>
                <w:i/>
                <w:iCs/>
                <w:color w:val="000000"/>
              </w:rPr>
            </w:pPr>
            <w:r>
              <w:rPr>
                <w:i/>
                <w:iCs/>
                <w:color w:val="000000"/>
              </w:rPr>
              <w:t>Sueldos Fijos</w:t>
            </w:r>
          </w:p>
        </w:tc>
        <w:tc>
          <w:tcPr>
            <w:tcW w:w="1640" w:type="dxa"/>
            <w:tcBorders>
              <w:top w:val="nil"/>
              <w:left w:val="nil"/>
              <w:bottom w:val="nil"/>
              <w:right w:val="nil"/>
            </w:tcBorders>
            <w:shd w:val="clear" w:color="auto" w:fill="auto"/>
            <w:noWrap/>
            <w:hideMark/>
          </w:tcPr>
          <w:p w14:paraId="32E760C6" w14:textId="5D1FF2D1" w:rsidR="00A306D7" w:rsidRDefault="00A306D7" w:rsidP="007949F7">
            <w:pPr>
              <w:spacing w:line="360" w:lineRule="auto"/>
              <w:jc w:val="right"/>
              <w:rPr>
                <w:i/>
                <w:iCs/>
                <w:color w:val="000000"/>
              </w:rPr>
            </w:pPr>
            <w:r>
              <w:rPr>
                <w:i/>
                <w:iCs/>
                <w:color w:val="000000"/>
              </w:rPr>
              <w:t>1</w:t>
            </w:r>
            <w:r w:rsidRPr="00671EF4">
              <w:rPr>
                <w:i/>
                <w:iCs/>
                <w:color w:val="000000"/>
              </w:rPr>
              <w:t>91,696,285.77</w:t>
            </w:r>
          </w:p>
        </w:tc>
        <w:tc>
          <w:tcPr>
            <w:tcW w:w="1640" w:type="dxa"/>
            <w:tcBorders>
              <w:top w:val="nil"/>
              <w:left w:val="nil"/>
              <w:bottom w:val="nil"/>
              <w:right w:val="nil"/>
            </w:tcBorders>
          </w:tcPr>
          <w:p w14:paraId="22496B31" w14:textId="062ECA11" w:rsidR="00A306D7" w:rsidRDefault="00A306D7" w:rsidP="007949F7">
            <w:pPr>
              <w:spacing w:line="360" w:lineRule="auto"/>
              <w:jc w:val="right"/>
              <w:rPr>
                <w:i/>
                <w:iCs/>
                <w:color w:val="000000"/>
              </w:rPr>
            </w:pPr>
            <w:r>
              <w:rPr>
                <w:i/>
                <w:iCs/>
                <w:color w:val="000000"/>
              </w:rPr>
              <w:t>177,733,005.93</w:t>
            </w:r>
          </w:p>
        </w:tc>
        <w:tc>
          <w:tcPr>
            <w:tcW w:w="1640" w:type="dxa"/>
            <w:tcBorders>
              <w:top w:val="nil"/>
              <w:left w:val="nil"/>
              <w:bottom w:val="nil"/>
              <w:right w:val="nil"/>
            </w:tcBorders>
            <w:shd w:val="clear" w:color="auto" w:fill="auto"/>
            <w:noWrap/>
            <w:vAlign w:val="center"/>
          </w:tcPr>
          <w:p w14:paraId="32E760C7" w14:textId="53FFD855" w:rsidR="00A306D7" w:rsidRDefault="00A306D7" w:rsidP="007949F7">
            <w:pPr>
              <w:spacing w:line="360" w:lineRule="auto"/>
              <w:jc w:val="right"/>
              <w:rPr>
                <w:i/>
                <w:iCs/>
                <w:color w:val="000000"/>
              </w:rPr>
            </w:pPr>
          </w:p>
        </w:tc>
      </w:tr>
      <w:tr w:rsidR="00A306D7" w14:paraId="32E760D0" w14:textId="77777777" w:rsidTr="00A306D7">
        <w:trPr>
          <w:trHeight w:val="282"/>
        </w:trPr>
        <w:tc>
          <w:tcPr>
            <w:tcW w:w="5150" w:type="dxa"/>
            <w:tcBorders>
              <w:top w:val="nil"/>
              <w:left w:val="nil"/>
              <w:bottom w:val="nil"/>
              <w:right w:val="nil"/>
            </w:tcBorders>
            <w:shd w:val="clear" w:color="auto" w:fill="auto"/>
            <w:noWrap/>
            <w:hideMark/>
          </w:tcPr>
          <w:p w14:paraId="32E760CD" w14:textId="77777777" w:rsidR="00A306D7" w:rsidRDefault="00A306D7" w:rsidP="007949F7">
            <w:pPr>
              <w:spacing w:line="360" w:lineRule="auto"/>
              <w:rPr>
                <w:i/>
                <w:iCs/>
                <w:color w:val="000000"/>
              </w:rPr>
            </w:pPr>
            <w:r>
              <w:rPr>
                <w:i/>
                <w:iCs/>
                <w:color w:val="000000"/>
              </w:rPr>
              <w:t>Personal de Carácter Eventual</w:t>
            </w:r>
          </w:p>
        </w:tc>
        <w:tc>
          <w:tcPr>
            <w:tcW w:w="1640" w:type="dxa"/>
            <w:tcBorders>
              <w:top w:val="nil"/>
              <w:left w:val="nil"/>
              <w:bottom w:val="nil"/>
              <w:right w:val="nil"/>
            </w:tcBorders>
            <w:shd w:val="clear" w:color="auto" w:fill="auto"/>
            <w:noWrap/>
            <w:hideMark/>
          </w:tcPr>
          <w:p w14:paraId="32E760CE" w14:textId="31ED0E05" w:rsidR="00A306D7" w:rsidRDefault="001020C5" w:rsidP="007949F7">
            <w:pPr>
              <w:spacing w:line="360" w:lineRule="auto"/>
              <w:jc w:val="right"/>
              <w:rPr>
                <w:i/>
                <w:iCs/>
                <w:color w:val="000000"/>
              </w:rPr>
            </w:pPr>
            <w:r>
              <w:rPr>
                <w:i/>
                <w:iCs/>
                <w:color w:val="000000"/>
              </w:rPr>
              <w:t>0</w:t>
            </w:r>
            <w:r w:rsidRPr="001020C5">
              <w:rPr>
                <w:i/>
                <w:iCs/>
                <w:color w:val="000000"/>
              </w:rPr>
              <w:t>.00</w:t>
            </w:r>
          </w:p>
        </w:tc>
        <w:tc>
          <w:tcPr>
            <w:tcW w:w="1640" w:type="dxa"/>
            <w:tcBorders>
              <w:top w:val="nil"/>
              <w:left w:val="nil"/>
              <w:bottom w:val="nil"/>
              <w:right w:val="nil"/>
            </w:tcBorders>
          </w:tcPr>
          <w:p w14:paraId="1E9FC576" w14:textId="519FF60B" w:rsidR="00A306D7" w:rsidRDefault="00A306D7" w:rsidP="007949F7">
            <w:pPr>
              <w:spacing w:line="360" w:lineRule="auto"/>
              <w:jc w:val="right"/>
              <w:rPr>
                <w:i/>
                <w:iCs/>
                <w:color w:val="000000"/>
              </w:rPr>
            </w:pPr>
            <w:r>
              <w:rPr>
                <w:i/>
                <w:iCs/>
                <w:color w:val="000000"/>
              </w:rPr>
              <w:t>920,000.00</w:t>
            </w:r>
          </w:p>
        </w:tc>
        <w:tc>
          <w:tcPr>
            <w:tcW w:w="1640" w:type="dxa"/>
            <w:tcBorders>
              <w:top w:val="nil"/>
              <w:left w:val="nil"/>
              <w:bottom w:val="nil"/>
              <w:right w:val="nil"/>
            </w:tcBorders>
            <w:shd w:val="clear" w:color="auto" w:fill="auto"/>
            <w:noWrap/>
            <w:vAlign w:val="center"/>
          </w:tcPr>
          <w:p w14:paraId="32E760CF" w14:textId="39BEDEA0" w:rsidR="00A306D7" w:rsidRDefault="00A306D7" w:rsidP="007949F7">
            <w:pPr>
              <w:spacing w:line="360" w:lineRule="auto"/>
              <w:jc w:val="right"/>
              <w:rPr>
                <w:i/>
                <w:iCs/>
                <w:color w:val="000000"/>
              </w:rPr>
            </w:pPr>
          </w:p>
        </w:tc>
      </w:tr>
      <w:tr w:rsidR="00A306D7" w14:paraId="32E760D4" w14:textId="77777777" w:rsidTr="00A306D7">
        <w:trPr>
          <w:trHeight w:val="282"/>
        </w:trPr>
        <w:tc>
          <w:tcPr>
            <w:tcW w:w="5150" w:type="dxa"/>
            <w:tcBorders>
              <w:top w:val="nil"/>
              <w:left w:val="nil"/>
              <w:bottom w:val="nil"/>
              <w:right w:val="nil"/>
            </w:tcBorders>
            <w:shd w:val="clear" w:color="auto" w:fill="auto"/>
            <w:noWrap/>
            <w:hideMark/>
          </w:tcPr>
          <w:p w14:paraId="32E760D1" w14:textId="77777777" w:rsidR="00A306D7" w:rsidRDefault="00A306D7" w:rsidP="007949F7">
            <w:pPr>
              <w:spacing w:line="360" w:lineRule="auto"/>
              <w:rPr>
                <w:i/>
                <w:iCs/>
                <w:color w:val="000000"/>
              </w:rPr>
            </w:pPr>
            <w:r>
              <w:rPr>
                <w:i/>
                <w:iCs/>
                <w:color w:val="000000"/>
              </w:rPr>
              <w:t>Prima de Transporte</w:t>
            </w:r>
          </w:p>
        </w:tc>
        <w:tc>
          <w:tcPr>
            <w:tcW w:w="1640" w:type="dxa"/>
            <w:tcBorders>
              <w:top w:val="nil"/>
              <w:left w:val="nil"/>
              <w:bottom w:val="nil"/>
              <w:right w:val="nil"/>
            </w:tcBorders>
            <w:shd w:val="clear" w:color="auto" w:fill="auto"/>
            <w:noWrap/>
            <w:hideMark/>
          </w:tcPr>
          <w:p w14:paraId="32E760D2" w14:textId="287CF704" w:rsidR="00A306D7" w:rsidRPr="00671EF4" w:rsidRDefault="00671EF4" w:rsidP="007949F7">
            <w:pPr>
              <w:spacing w:line="360" w:lineRule="auto"/>
              <w:jc w:val="right"/>
              <w:rPr>
                <w:i/>
                <w:iCs/>
                <w:color w:val="000000"/>
              </w:rPr>
            </w:pPr>
            <w:r w:rsidRPr="00671EF4">
              <w:rPr>
                <w:i/>
                <w:iCs/>
                <w:color w:val="000000"/>
              </w:rPr>
              <w:t>9,743,412.79</w:t>
            </w:r>
          </w:p>
        </w:tc>
        <w:tc>
          <w:tcPr>
            <w:tcW w:w="1640" w:type="dxa"/>
            <w:tcBorders>
              <w:top w:val="nil"/>
              <w:left w:val="nil"/>
              <w:bottom w:val="nil"/>
              <w:right w:val="nil"/>
            </w:tcBorders>
          </w:tcPr>
          <w:p w14:paraId="41B21580" w14:textId="00AEDD8A" w:rsidR="00A306D7" w:rsidRDefault="00A306D7" w:rsidP="007949F7">
            <w:pPr>
              <w:spacing w:line="360" w:lineRule="auto"/>
              <w:jc w:val="right"/>
              <w:rPr>
                <w:i/>
                <w:iCs/>
                <w:color w:val="000000"/>
              </w:rPr>
            </w:pPr>
            <w:r>
              <w:rPr>
                <w:i/>
                <w:iCs/>
                <w:color w:val="000000"/>
              </w:rPr>
              <w:t>8,649,653.06</w:t>
            </w:r>
          </w:p>
        </w:tc>
        <w:tc>
          <w:tcPr>
            <w:tcW w:w="1640" w:type="dxa"/>
            <w:tcBorders>
              <w:top w:val="nil"/>
              <w:left w:val="nil"/>
              <w:bottom w:val="nil"/>
              <w:right w:val="nil"/>
            </w:tcBorders>
            <w:shd w:val="clear" w:color="auto" w:fill="auto"/>
            <w:noWrap/>
            <w:vAlign w:val="center"/>
          </w:tcPr>
          <w:p w14:paraId="32E760D3" w14:textId="6A6F744E" w:rsidR="00A306D7" w:rsidRDefault="00A306D7" w:rsidP="007949F7">
            <w:pPr>
              <w:spacing w:line="360" w:lineRule="auto"/>
              <w:jc w:val="right"/>
              <w:rPr>
                <w:i/>
                <w:iCs/>
                <w:color w:val="000000"/>
              </w:rPr>
            </w:pPr>
          </w:p>
        </w:tc>
      </w:tr>
      <w:tr w:rsidR="00A306D7" w14:paraId="32E760D8" w14:textId="77777777" w:rsidTr="00671EF4">
        <w:trPr>
          <w:trHeight w:val="282"/>
        </w:trPr>
        <w:tc>
          <w:tcPr>
            <w:tcW w:w="5150" w:type="dxa"/>
            <w:tcBorders>
              <w:top w:val="nil"/>
              <w:left w:val="nil"/>
              <w:bottom w:val="nil"/>
              <w:right w:val="nil"/>
            </w:tcBorders>
            <w:shd w:val="clear" w:color="auto" w:fill="auto"/>
            <w:noWrap/>
            <w:hideMark/>
          </w:tcPr>
          <w:p w14:paraId="32E760D5" w14:textId="77777777" w:rsidR="00A306D7" w:rsidRDefault="00A306D7" w:rsidP="007949F7">
            <w:pPr>
              <w:spacing w:line="360" w:lineRule="auto"/>
              <w:rPr>
                <w:i/>
                <w:iCs/>
                <w:color w:val="000000"/>
              </w:rPr>
            </w:pPr>
            <w:r>
              <w:rPr>
                <w:i/>
                <w:iCs/>
                <w:color w:val="000000"/>
              </w:rPr>
              <w:t>Compensación Servicios de Seguridad</w:t>
            </w:r>
          </w:p>
        </w:tc>
        <w:tc>
          <w:tcPr>
            <w:tcW w:w="1640" w:type="dxa"/>
            <w:tcBorders>
              <w:top w:val="nil"/>
              <w:left w:val="nil"/>
              <w:bottom w:val="nil"/>
              <w:right w:val="nil"/>
            </w:tcBorders>
            <w:shd w:val="clear" w:color="auto" w:fill="auto"/>
            <w:noWrap/>
          </w:tcPr>
          <w:p w14:paraId="32E760D6" w14:textId="5F7FADB8" w:rsidR="00A306D7" w:rsidRPr="00671EF4" w:rsidRDefault="0012309F" w:rsidP="007949F7">
            <w:pPr>
              <w:spacing w:line="360" w:lineRule="auto"/>
              <w:jc w:val="right"/>
              <w:rPr>
                <w:i/>
                <w:iCs/>
                <w:color w:val="000000"/>
              </w:rPr>
            </w:pPr>
            <w:r>
              <w:rPr>
                <w:i/>
                <w:iCs/>
                <w:color w:val="000000"/>
              </w:rPr>
              <w:t>8</w:t>
            </w:r>
            <w:r w:rsidRPr="00B95ABE">
              <w:rPr>
                <w:i/>
                <w:iCs/>
                <w:color w:val="000000"/>
              </w:rPr>
              <w:t>,119,011.09</w:t>
            </w:r>
          </w:p>
        </w:tc>
        <w:tc>
          <w:tcPr>
            <w:tcW w:w="1640" w:type="dxa"/>
            <w:tcBorders>
              <w:top w:val="nil"/>
              <w:left w:val="nil"/>
              <w:bottom w:val="nil"/>
              <w:right w:val="nil"/>
            </w:tcBorders>
          </w:tcPr>
          <w:p w14:paraId="54062B9B" w14:textId="4F75ACEE" w:rsidR="00A306D7" w:rsidRDefault="00A306D7" w:rsidP="007949F7">
            <w:pPr>
              <w:spacing w:line="360" w:lineRule="auto"/>
              <w:jc w:val="right"/>
              <w:rPr>
                <w:i/>
                <w:iCs/>
                <w:color w:val="000000"/>
              </w:rPr>
            </w:pPr>
            <w:r>
              <w:rPr>
                <w:i/>
                <w:iCs/>
                <w:color w:val="000000"/>
              </w:rPr>
              <w:t>8,579,892.33</w:t>
            </w:r>
          </w:p>
        </w:tc>
        <w:tc>
          <w:tcPr>
            <w:tcW w:w="1640" w:type="dxa"/>
            <w:tcBorders>
              <w:top w:val="nil"/>
              <w:left w:val="nil"/>
              <w:bottom w:val="nil"/>
              <w:right w:val="nil"/>
            </w:tcBorders>
            <w:shd w:val="clear" w:color="auto" w:fill="auto"/>
            <w:noWrap/>
            <w:vAlign w:val="center"/>
          </w:tcPr>
          <w:p w14:paraId="32E760D7" w14:textId="50CDC421" w:rsidR="00A306D7" w:rsidRDefault="00A306D7" w:rsidP="007949F7">
            <w:pPr>
              <w:spacing w:line="360" w:lineRule="auto"/>
              <w:jc w:val="right"/>
              <w:rPr>
                <w:i/>
                <w:iCs/>
                <w:color w:val="000000"/>
              </w:rPr>
            </w:pPr>
          </w:p>
        </w:tc>
      </w:tr>
      <w:tr w:rsidR="00A306D7" w14:paraId="32E760DC" w14:textId="77777777" w:rsidTr="00671EF4">
        <w:trPr>
          <w:trHeight w:val="282"/>
        </w:trPr>
        <w:tc>
          <w:tcPr>
            <w:tcW w:w="5150" w:type="dxa"/>
            <w:tcBorders>
              <w:top w:val="nil"/>
              <w:left w:val="nil"/>
              <w:bottom w:val="nil"/>
              <w:right w:val="nil"/>
            </w:tcBorders>
            <w:shd w:val="clear" w:color="auto" w:fill="auto"/>
            <w:noWrap/>
            <w:hideMark/>
          </w:tcPr>
          <w:p w14:paraId="32E760D9" w14:textId="77777777" w:rsidR="00A306D7" w:rsidRDefault="00A306D7" w:rsidP="007949F7">
            <w:pPr>
              <w:spacing w:line="360" w:lineRule="auto"/>
              <w:rPr>
                <w:i/>
                <w:iCs/>
                <w:color w:val="000000"/>
              </w:rPr>
            </w:pPr>
            <w:r>
              <w:rPr>
                <w:i/>
                <w:iCs/>
                <w:color w:val="000000"/>
              </w:rPr>
              <w:t>Compensación por Resultados</w:t>
            </w:r>
          </w:p>
        </w:tc>
        <w:tc>
          <w:tcPr>
            <w:tcW w:w="1640" w:type="dxa"/>
            <w:tcBorders>
              <w:top w:val="nil"/>
              <w:left w:val="nil"/>
              <w:bottom w:val="nil"/>
              <w:right w:val="nil"/>
            </w:tcBorders>
            <w:shd w:val="clear" w:color="auto" w:fill="auto"/>
            <w:noWrap/>
          </w:tcPr>
          <w:p w14:paraId="32E760DA" w14:textId="3FBB569B" w:rsidR="00A306D7" w:rsidRPr="00671EF4" w:rsidRDefault="0012309F" w:rsidP="007949F7">
            <w:pPr>
              <w:spacing w:line="360" w:lineRule="auto"/>
              <w:jc w:val="right"/>
              <w:rPr>
                <w:i/>
                <w:iCs/>
                <w:color w:val="000000"/>
              </w:rPr>
            </w:pPr>
            <w:r>
              <w:rPr>
                <w:i/>
                <w:iCs/>
                <w:color w:val="000000"/>
              </w:rPr>
              <w:t>3</w:t>
            </w:r>
            <w:r w:rsidRPr="00B95ABE">
              <w:rPr>
                <w:i/>
                <w:iCs/>
                <w:color w:val="000000"/>
              </w:rPr>
              <w:t>,579,756.86</w:t>
            </w:r>
          </w:p>
        </w:tc>
        <w:tc>
          <w:tcPr>
            <w:tcW w:w="1640" w:type="dxa"/>
            <w:tcBorders>
              <w:top w:val="nil"/>
              <w:left w:val="nil"/>
              <w:bottom w:val="nil"/>
              <w:right w:val="nil"/>
            </w:tcBorders>
          </w:tcPr>
          <w:p w14:paraId="4355A015" w14:textId="70781055" w:rsidR="00A306D7" w:rsidRDefault="00A306D7" w:rsidP="007949F7">
            <w:pPr>
              <w:spacing w:line="360" w:lineRule="auto"/>
              <w:jc w:val="right"/>
              <w:rPr>
                <w:i/>
                <w:iCs/>
                <w:color w:val="000000"/>
              </w:rPr>
            </w:pPr>
            <w:r>
              <w:rPr>
                <w:i/>
                <w:iCs/>
                <w:color w:val="000000"/>
              </w:rPr>
              <w:t>3,280,400.04</w:t>
            </w:r>
          </w:p>
        </w:tc>
        <w:tc>
          <w:tcPr>
            <w:tcW w:w="1640" w:type="dxa"/>
            <w:tcBorders>
              <w:top w:val="nil"/>
              <w:left w:val="nil"/>
              <w:bottom w:val="nil"/>
              <w:right w:val="nil"/>
            </w:tcBorders>
            <w:shd w:val="clear" w:color="auto" w:fill="auto"/>
            <w:noWrap/>
            <w:vAlign w:val="center"/>
          </w:tcPr>
          <w:p w14:paraId="32E760DB" w14:textId="00EA0022" w:rsidR="00A306D7" w:rsidRDefault="00A306D7" w:rsidP="007949F7">
            <w:pPr>
              <w:spacing w:line="360" w:lineRule="auto"/>
              <w:jc w:val="right"/>
              <w:rPr>
                <w:i/>
                <w:iCs/>
                <w:color w:val="000000"/>
              </w:rPr>
            </w:pPr>
          </w:p>
        </w:tc>
      </w:tr>
      <w:tr w:rsidR="00A306D7" w14:paraId="32E760E0" w14:textId="77777777" w:rsidTr="00671EF4">
        <w:trPr>
          <w:trHeight w:val="282"/>
        </w:trPr>
        <w:tc>
          <w:tcPr>
            <w:tcW w:w="5150" w:type="dxa"/>
            <w:tcBorders>
              <w:top w:val="nil"/>
              <w:left w:val="nil"/>
              <w:bottom w:val="nil"/>
              <w:right w:val="nil"/>
            </w:tcBorders>
            <w:shd w:val="clear" w:color="auto" w:fill="auto"/>
            <w:noWrap/>
            <w:hideMark/>
          </w:tcPr>
          <w:p w14:paraId="32E760DD" w14:textId="77777777" w:rsidR="00A306D7" w:rsidRDefault="00A306D7" w:rsidP="007949F7">
            <w:pPr>
              <w:spacing w:line="360" w:lineRule="auto"/>
              <w:rPr>
                <w:i/>
                <w:iCs/>
                <w:color w:val="000000"/>
              </w:rPr>
            </w:pPr>
            <w:r>
              <w:rPr>
                <w:i/>
                <w:iCs/>
                <w:color w:val="000000"/>
              </w:rPr>
              <w:t>Compensación Gastos de Alimentación Militares</w:t>
            </w:r>
          </w:p>
        </w:tc>
        <w:tc>
          <w:tcPr>
            <w:tcW w:w="1640" w:type="dxa"/>
            <w:tcBorders>
              <w:top w:val="nil"/>
              <w:left w:val="nil"/>
              <w:bottom w:val="nil"/>
              <w:right w:val="nil"/>
            </w:tcBorders>
            <w:shd w:val="clear" w:color="auto" w:fill="auto"/>
            <w:noWrap/>
          </w:tcPr>
          <w:p w14:paraId="32E760DE" w14:textId="67EAE6AE" w:rsidR="00A306D7" w:rsidRPr="00671EF4" w:rsidRDefault="00303EA2" w:rsidP="007949F7">
            <w:pPr>
              <w:spacing w:line="360" w:lineRule="auto"/>
              <w:jc w:val="right"/>
              <w:rPr>
                <w:i/>
                <w:iCs/>
                <w:color w:val="000000"/>
              </w:rPr>
            </w:pPr>
            <w:r>
              <w:rPr>
                <w:i/>
                <w:iCs/>
                <w:color w:val="000000"/>
              </w:rPr>
              <w:t>1</w:t>
            </w:r>
            <w:r w:rsidRPr="00597008">
              <w:rPr>
                <w:i/>
                <w:iCs/>
                <w:color w:val="000000"/>
              </w:rPr>
              <w:t>,477,650.00</w:t>
            </w:r>
          </w:p>
        </w:tc>
        <w:tc>
          <w:tcPr>
            <w:tcW w:w="1640" w:type="dxa"/>
            <w:tcBorders>
              <w:top w:val="nil"/>
              <w:left w:val="nil"/>
              <w:bottom w:val="nil"/>
              <w:right w:val="nil"/>
            </w:tcBorders>
          </w:tcPr>
          <w:p w14:paraId="4754E6A8" w14:textId="49178B6F" w:rsidR="00A306D7" w:rsidRDefault="00A306D7" w:rsidP="007949F7">
            <w:pPr>
              <w:spacing w:line="360" w:lineRule="auto"/>
              <w:jc w:val="right"/>
              <w:rPr>
                <w:i/>
                <w:iCs/>
                <w:color w:val="000000"/>
              </w:rPr>
            </w:pPr>
            <w:r>
              <w:rPr>
                <w:i/>
                <w:iCs/>
                <w:color w:val="000000"/>
              </w:rPr>
              <w:t>1,457,800.00</w:t>
            </w:r>
          </w:p>
        </w:tc>
        <w:tc>
          <w:tcPr>
            <w:tcW w:w="1640" w:type="dxa"/>
            <w:tcBorders>
              <w:top w:val="nil"/>
              <w:left w:val="nil"/>
              <w:bottom w:val="nil"/>
              <w:right w:val="nil"/>
            </w:tcBorders>
            <w:shd w:val="clear" w:color="auto" w:fill="auto"/>
            <w:noWrap/>
            <w:vAlign w:val="center"/>
          </w:tcPr>
          <w:p w14:paraId="32E760DF" w14:textId="2C13B92C" w:rsidR="00A306D7" w:rsidRDefault="00A306D7" w:rsidP="007949F7">
            <w:pPr>
              <w:spacing w:line="360" w:lineRule="auto"/>
              <w:jc w:val="right"/>
              <w:rPr>
                <w:i/>
                <w:iCs/>
                <w:color w:val="000000"/>
              </w:rPr>
            </w:pPr>
          </w:p>
        </w:tc>
      </w:tr>
      <w:tr w:rsidR="00A306D7" w14:paraId="32E760E4" w14:textId="77777777" w:rsidTr="00671EF4">
        <w:trPr>
          <w:trHeight w:val="282"/>
        </w:trPr>
        <w:tc>
          <w:tcPr>
            <w:tcW w:w="5150" w:type="dxa"/>
            <w:tcBorders>
              <w:top w:val="nil"/>
              <w:left w:val="nil"/>
              <w:bottom w:val="nil"/>
              <w:right w:val="nil"/>
            </w:tcBorders>
            <w:shd w:val="clear" w:color="auto" w:fill="auto"/>
            <w:noWrap/>
            <w:hideMark/>
          </w:tcPr>
          <w:p w14:paraId="32E760E1" w14:textId="77777777" w:rsidR="00A306D7" w:rsidRDefault="00A306D7" w:rsidP="007949F7">
            <w:pPr>
              <w:spacing w:line="360" w:lineRule="auto"/>
              <w:rPr>
                <w:i/>
                <w:iCs/>
                <w:color w:val="000000"/>
              </w:rPr>
            </w:pPr>
            <w:r>
              <w:rPr>
                <w:i/>
                <w:iCs/>
                <w:color w:val="000000"/>
              </w:rPr>
              <w:t>Gastos de Representación en el País</w:t>
            </w:r>
          </w:p>
        </w:tc>
        <w:tc>
          <w:tcPr>
            <w:tcW w:w="1640" w:type="dxa"/>
            <w:tcBorders>
              <w:top w:val="nil"/>
              <w:left w:val="nil"/>
              <w:bottom w:val="nil"/>
              <w:right w:val="nil"/>
            </w:tcBorders>
            <w:shd w:val="clear" w:color="auto" w:fill="auto"/>
            <w:noWrap/>
          </w:tcPr>
          <w:p w14:paraId="32E760E2" w14:textId="6882BAB4" w:rsidR="00A306D7" w:rsidRPr="00671EF4" w:rsidRDefault="00303EA2" w:rsidP="007949F7">
            <w:pPr>
              <w:spacing w:line="360" w:lineRule="auto"/>
              <w:jc w:val="right"/>
              <w:rPr>
                <w:i/>
                <w:iCs/>
                <w:color w:val="000000"/>
              </w:rPr>
            </w:pPr>
            <w:r>
              <w:rPr>
                <w:i/>
                <w:iCs/>
                <w:color w:val="000000"/>
              </w:rPr>
              <w:t>0</w:t>
            </w:r>
            <w:r w:rsidRPr="00597008">
              <w:rPr>
                <w:i/>
                <w:iCs/>
                <w:color w:val="000000"/>
              </w:rPr>
              <w:t>.00</w:t>
            </w:r>
          </w:p>
        </w:tc>
        <w:tc>
          <w:tcPr>
            <w:tcW w:w="1640" w:type="dxa"/>
            <w:tcBorders>
              <w:top w:val="nil"/>
              <w:left w:val="nil"/>
              <w:bottom w:val="nil"/>
              <w:right w:val="nil"/>
            </w:tcBorders>
          </w:tcPr>
          <w:p w14:paraId="76C04551" w14:textId="274CF339" w:rsidR="00A306D7" w:rsidRDefault="00A306D7" w:rsidP="007949F7">
            <w:pPr>
              <w:spacing w:line="360" w:lineRule="auto"/>
              <w:jc w:val="right"/>
              <w:rPr>
                <w:i/>
                <w:iCs/>
                <w:color w:val="000000"/>
              </w:rPr>
            </w:pPr>
            <w:r>
              <w:rPr>
                <w:i/>
                <w:iCs/>
                <w:color w:val="000000"/>
              </w:rPr>
              <w:t>4,144,197.62</w:t>
            </w:r>
          </w:p>
        </w:tc>
        <w:tc>
          <w:tcPr>
            <w:tcW w:w="1640" w:type="dxa"/>
            <w:tcBorders>
              <w:top w:val="nil"/>
              <w:left w:val="nil"/>
              <w:bottom w:val="nil"/>
              <w:right w:val="nil"/>
            </w:tcBorders>
            <w:shd w:val="clear" w:color="auto" w:fill="auto"/>
            <w:noWrap/>
            <w:vAlign w:val="center"/>
          </w:tcPr>
          <w:p w14:paraId="32E760E3" w14:textId="0BB395E5" w:rsidR="00A306D7" w:rsidRDefault="00A306D7" w:rsidP="007949F7">
            <w:pPr>
              <w:spacing w:line="360" w:lineRule="auto"/>
              <w:jc w:val="right"/>
              <w:rPr>
                <w:i/>
                <w:iCs/>
                <w:color w:val="000000"/>
              </w:rPr>
            </w:pPr>
          </w:p>
        </w:tc>
      </w:tr>
      <w:tr w:rsidR="00D16C85" w14:paraId="4CF86601" w14:textId="77777777" w:rsidTr="00671EF4">
        <w:trPr>
          <w:trHeight w:val="282"/>
        </w:trPr>
        <w:tc>
          <w:tcPr>
            <w:tcW w:w="5150" w:type="dxa"/>
            <w:tcBorders>
              <w:top w:val="nil"/>
              <w:left w:val="nil"/>
              <w:bottom w:val="nil"/>
              <w:right w:val="nil"/>
            </w:tcBorders>
            <w:shd w:val="clear" w:color="auto" w:fill="auto"/>
            <w:noWrap/>
          </w:tcPr>
          <w:p w14:paraId="49BC217B" w14:textId="0956234C" w:rsidR="00D16C85" w:rsidRDefault="00597008" w:rsidP="007949F7">
            <w:pPr>
              <w:spacing w:line="360" w:lineRule="auto"/>
              <w:rPr>
                <w:i/>
                <w:iCs/>
                <w:color w:val="000000"/>
              </w:rPr>
            </w:pPr>
            <w:r>
              <w:rPr>
                <w:i/>
                <w:iCs/>
                <w:color w:val="000000"/>
              </w:rPr>
              <w:t>G</w:t>
            </w:r>
            <w:r w:rsidRPr="00597008">
              <w:rPr>
                <w:i/>
                <w:iCs/>
                <w:color w:val="000000"/>
              </w:rPr>
              <w:t>asto de Representación en el Exterior</w:t>
            </w:r>
          </w:p>
        </w:tc>
        <w:tc>
          <w:tcPr>
            <w:tcW w:w="1640" w:type="dxa"/>
            <w:tcBorders>
              <w:top w:val="nil"/>
              <w:left w:val="nil"/>
              <w:bottom w:val="nil"/>
              <w:right w:val="nil"/>
            </w:tcBorders>
            <w:shd w:val="clear" w:color="auto" w:fill="auto"/>
            <w:noWrap/>
          </w:tcPr>
          <w:p w14:paraId="515D4513" w14:textId="48F984E7" w:rsidR="00D16C85" w:rsidRDefault="00840C68" w:rsidP="007949F7">
            <w:pPr>
              <w:spacing w:line="360" w:lineRule="auto"/>
              <w:jc w:val="right"/>
              <w:rPr>
                <w:i/>
                <w:iCs/>
                <w:color w:val="000000"/>
              </w:rPr>
            </w:pPr>
            <w:r>
              <w:rPr>
                <w:i/>
                <w:iCs/>
                <w:color w:val="000000"/>
              </w:rPr>
              <w:t>2</w:t>
            </w:r>
            <w:r w:rsidRPr="00840C68">
              <w:rPr>
                <w:i/>
                <w:iCs/>
                <w:color w:val="000000"/>
              </w:rPr>
              <w:t>87,510.00</w:t>
            </w:r>
          </w:p>
        </w:tc>
        <w:tc>
          <w:tcPr>
            <w:tcW w:w="1640" w:type="dxa"/>
            <w:tcBorders>
              <w:top w:val="nil"/>
              <w:left w:val="nil"/>
              <w:bottom w:val="nil"/>
              <w:right w:val="nil"/>
            </w:tcBorders>
          </w:tcPr>
          <w:p w14:paraId="022FB822" w14:textId="16660664" w:rsidR="00D16C85" w:rsidRDefault="00840C68" w:rsidP="007949F7">
            <w:pPr>
              <w:spacing w:line="360" w:lineRule="auto"/>
              <w:jc w:val="right"/>
              <w:rPr>
                <w:i/>
                <w:iCs/>
                <w:color w:val="000000"/>
              </w:rPr>
            </w:pPr>
            <w:r>
              <w:rPr>
                <w:i/>
                <w:iCs/>
                <w:color w:val="000000"/>
              </w:rPr>
              <w:t>0</w:t>
            </w:r>
            <w:r w:rsidRPr="00840C68">
              <w:rPr>
                <w:i/>
                <w:iCs/>
                <w:color w:val="000000"/>
              </w:rPr>
              <w:t>.00</w:t>
            </w:r>
          </w:p>
        </w:tc>
        <w:tc>
          <w:tcPr>
            <w:tcW w:w="1640" w:type="dxa"/>
            <w:tcBorders>
              <w:top w:val="nil"/>
              <w:left w:val="nil"/>
              <w:bottom w:val="nil"/>
              <w:right w:val="nil"/>
            </w:tcBorders>
            <w:shd w:val="clear" w:color="auto" w:fill="auto"/>
            <w:noWrap/>
            <w:vAlign w:val="center"/>
          </w:tcPr>
          <w:p w14:paraId="7BB795BD" w14:textId="77777777" w:rsidR="00D16C85" w:rsidRDefault="00D16C85" w:rsidP="007949F7">
            <w:pPr>
              <w:spacing w:line="360" w:lineRule="auto"/>
              <w:jc w:val="right"/>
              <w:rPr>
                <w:i/>
                <w:iCs/>
                <w:color w:val="000000"/>
              </w:rPr>
            </w:pPr>
          </w:p>
        </w:tc>
      </w:tr>
      <w:tr w:rsidR="00A306D7" w14:paraId="32E760E8" w14:textId="77777777" w:rsidTr="00671EF4">
        <w:trPr>
          <w:trHeight w:val="282"/>
        </w:trPr>
        <w:tc>
          <w:tcPr>
            <w:tcW w:w="5150" w:type="dxa"/>
            <w:tcBorders>
              <w:top w:val="nil"/>
              <w:left w:val="nil"/>
              <w:bottom w:val="nil"/>
              <w:right w:val="nil"/>
            </w:tcBorders>
            <w:shd w:val="clear" w:color="auto" w:fill="auto"/>
            <w:noWrap/>
            <w:hideMark/>
          </w:tcPr>
          <w:p w14:paraId="32E760E5" w14:textId="77777777" w:rsidR="00A306D7" w:rsidRDefault="00A306D7" w:rsidP="007949F7">
            <w:pPr>
              <w:spacing w:line="360" w:lineRule="auto"/>
              <w:rPr>
                <w:i/>
                <w:iCs/>
                <w:color w:val="000000"/>
              </w:rPr>
            </w:pPr>
            <w:r>
              <w:rPr>
                <w:i/>
                <w:iCs/>
                <w:color w:val="000000"/>
              </w:rPr>
              <w:t>Dietas en el País</w:t>
            </w:r>
          </w:p>
        </w:tc>
        <w:tc>
          <w:tcPr>
            <w:tcW w:w="1640" w:type="dxa"/>
            <w:tcBorders>
              <w:top w:val="nil"/>
              <w:left w:val="nil"/>
              <w:bottom w:val="nil"/>
              <w:right w:val="nil"/>
            </w:tcBorders>
            <w:shd w:val="clear" w:color="auto" w:fill="auto"/>
            <w:noWrap/>
          </w:tcPr>
          <w:p w14:paraId="32E760E6" w14:textId="118903F9" w:rsidR="00A306D7" w:rsidRPr="00671EF4" w:rsidRDefault="00EE324D" w:rsidP="007949F7">
            <w:pPr>
              <w:spacing w:line="360" w:lineRule="auto"/>
              <w:jc w:val="right"/>
              <w:rPr>
                <w:i/>
                <w:iCs/>
                <w:color w:val="000000"/>
              </w:rPr>
            </w:pPr>
            <w:r>
              <w:rPr>
                <w:i/>
                <w:iCs/>
                <w:color w:val="000000"/>
              </w:rPr>
              <w:t>7</w:t>
            </w:r>
            <w:r w:rsidRPr="00700069">
              <w:rPr>
                <w:i/>
                <w:iCs/>
                <w:color w:val="000000"/>
              </w:rPr>
              <w:t>78,000.00</w:t>
            </w:r>
          </w:p>
        </w:tc>
        <w:tc>
          <w:tcPr>
            <w:tcW w:w="1640" w:type="dxa"/>
            <w:tcBorders>
              <w:top w:val="nil"/>
              <w:left w:val="nil"/>
              <w:bottom w:val="nil"/>
              <w:right w:val="nil"/>
            </w:tcBorders>
          </w:tcPr>
          <w:p w14:paraId="29E66AE7" w14:textId="4E1B99A3" w:rsidR="00A306D7" w:rsidRDefault="00A306D7" w:rsidP="007949F7">
            <w:pPr>
              <w:spacing w:line="360" w:lineRule="auto"/>
              <w:jc w:val="right"/>
              <w:rPr>
                <w:i/>
                <w:iCs/>
                <w:color w:val="000000"/>
              </w:rPr>
            </w:pPr>
            <w:r>
              <w:rPr>
                <w:i/>
                <w:iCs/>
                <w:color w:val="000000"/>
              </w:rPr>
              <w:t>682,000.00</w:t>
            </w:r>
          </w:p>
        </w:tc>
        <w:tc>
          <w:tcPr>
            <w:tcW w:w="1640" w:type="dxa"/>
            <w:tcBorders>
              <w:top w:val="nil"/>
              <w:left w:val="nil"/>
              <w:bottom w:val="nil"/>
              <w:right w:val="nil"/>
            </w:tcBorders>
            <w:shd w:val="clear" w:color="auto" w:fill="auto"/>
            <w:noWrap/>
            <w:vAlign w:val="center"/>
          </w:tcPr>
          <w:p w14:paraId="32E760E7" w14:textId="038A270F" w:rsidR="00A306D7" w:rsidRDefault="00A306D7" w:rsidP="007949F7">
            <w:pPr>
              <w:spacing w:line="360" w:lineRule="auto"/>
              <w:jc w:val="right"/>
              <w:rPr>
                <w:i/>
                <w:iCs/>
                <w:color w:val="000000"/>
              </w:rPr>
            </w:pPr>
          </w:p>
        </w:tc>
      </w:tr>
      <w:tr w:rsidR="00A306D7" w14:paraId="32E760EC" w14:textId="77777777" w:rsidTr="00671EF4">
        <w:trPr>
          <w:trHeight w:val="282"/>
        </w:trPr>
        <w:tc>
          <w:tcPr>
            <w:tcW w:w="5150" w:type="dxa"/>
            <w:tcBorders>
              <w:top w:val="nil"/>
              <w:left w:val="nil"/>
              <w:bottom w:val="nil"/>
              <w:right w:val="nil"/>
            </w:tcBorders>
            <w:shd w:val="clear" w:color="auto" w:fill="auto"/>
            <w:noWrap/>
            <w:hideMark/>
          </w:tcPr>
          <w:p w14:paraId="32E760E9" w14:textId="77777777" w:rsidR="00A306D7" w:rsidRDefault="00A306D7" w:rsidP="007949F7">
            <w:pPr>
              <w:spacing w:line="360" w:lineRule="auto"/>
              <w:rPr>
                <w:i/>
                <w:iCs/>
                <w:color w:val="000000"/>
              </w:rPr>
            </w:pPr>
            <w:r>
              <w:rPr>
                <w:i/>
                <w:iCs/>
                <w:color w:val="000000"/>
              </w:rPr>
              <w:t xml:space="preserve">Vacaciones </w:t>
            </w:r>
          </w:p>
        </w:tc>
        <w:tc>
          <w:tcPr>
            <w:tcW w:w="1640" w:type="dxa"/>
            <w:tcBorders>
              <w:top w:val="nil"/>
              <w:left w:val="nil"/>
              <w:bottom w:val="nil"/>
              <w:right w:val="nil"/>
            </w:tcBorders>
            <w:shd w:val="clear" w:color="auto" w:fill="auto"/>
            <w:noWrap/>
          </w:tcPr>
          <w:p w14:paraId="32E760EA" w14:textId="6F8D300B" w:rsidR="00A306D7" w:rsidRPr="00671EF4" w:rsidRDefault="00EE324D" w:rsidP="007949F7">
            <w:pPr>
              <w:spacing w:line="360" w:lineRule="auto"/>
              <w:jc w:val="right"/>
              <w:rPr>
                <w:i/>
                <w:iCs/>
                <w:color w:val="000000"/>
              </w:rPr>
            </w:pPr>
            <w:r>
              <w:rPr>
                <w:i/>
                <w:iCs/>
                <w:color w:val="000000"/>
              </w:rPr>
              <w:t>2</w:t>
            </w:r>
            <w:r w:rsidRPr="00700069">
              <w:rPr>
                <w:i/>
                <w:iCs/>
                <w:color w:val="000000"/>
              </w:rPr>
              <w:t>1,743,580.26</w:t>
            </w:r>
          </w:p>
        </w:tc>
        <w:tc>
          <w:tcPr>
            <w:tcW w:w="1640" w:type="dxa"/>
            <w:tcBorders>
              <w:top w:val="nil"/>
              <w:left w:val="nil"/>
              <w:bottom w:val="nil"/>
              <w:right w:val="nil"/>
            </w:tcBorders>
          </w:tcPr>
          <w:p w14:paraId="3CC68175" w14:textId="13E1EA71" w:rsidR="00A306D7" w:rsidRDefault="00A306D7" w:rsidP="007949F7">
            <w:pPr>
              <w:spacing w:line="360" w:lineRule="auto"/>
              <w:jc w:val="right"/>
              <w:rPr>
                <w:i/>
                <w:iCs/>
                <w:color w:val="000000"/>
              </w:rPr>
            </w:pPr>
            <w:r>
              <w:rPr>
                <w:i/>
                <w:iCs/>
                <w:color w:val="000000"/>
              </w:rPr>
              <w:t>18,805,946.24</w:t>
            </w:r>
          </w:p>
        </w:tc>
        <w:tc>
          <w:tcPr>
            <w:tcW w:w="1640" w:type="dxa"/>
            <w:tcBorders>
              <w:top w:val="nil"/>
              <w:left w:val="nil"/>
              <w:bottom w:val="nil"/>
              <w:right w:val="nil"/>
            </w:tcBorders>
            <w:shd w:val="clear" w:color="auto" w:fill="auto"/>
            <w:noWrap/>
            <w:vAlign w:val="center"/>
          </w:tcPr>
          <w:p w14:paraId="32E760EB" w14:textId="66091066" w:rsidR="00A306D7" w:rsidRDefault="00A306D7" w:rsidP="007949F7">
            <w:pPr>
              <w:spacing w:line="360" w:lineRule="auto"/>
              <w:jc w:val="right"/>
              <w:rPr>
                <w:i/>
                <w:iCs/>
                <w:color w:val="000000"/>
              </w:rPr>
            </w:pPr>
          </w:p>
        </w:tc>
      </w:tr>
      <w:tr w:rsidR="00A306D7" w14:paraId="32E760F0" w14:textId="77777777" w:rsidTr="00671EF4">
        <w:trPr>
          <w:trHeight w:val="282"/>
        </w:trPr>
        <w:tc>
          <w:tcPr>
            <w:tcW w:w="5150" w:type="dxa"/>
            <w:tcBorders>
              <w:top w:val="nil"/>
              <w:left w:val="nil"/>
              <w:bottom w:val="nil"/>
              <w:right w:val="nil"/>
            </w:tcBorders>
            <w:shd w:val="clear" w:color="auto" w:fill="auto"/>
            <w:noWrap/>
            <w:hideMark/>
          </w:tcPr>
          <w:p w14:paraId="32E760ED" w14:textId="77777777" w:rsidR="00A306D7" w:rsidRDefault="00A306D7" w:rsidP="007949F7">
            <w:pPr>
              <w:spacing w:line="360" w:lineRule="auto"/>
              <w:rPr>
                <w:i/>
                <w:iCs/>
                <w:color w:val="000000"/>
              </w:rPr>
            </w:pPr>
            <w:r>
              <w:rPr>
                <w:i/>
                <w:iCs/>
                <w:color w:val="000000"/>
              </w:rPr>
              <w:t>Regalía Pascual</w:t>
            </w:r>
          </w:p>
        </w:tc>
        <w:tc>
          <w:tcPr>
            <w:tcW w:w="1640" w:type="dxa"/>
            <w:tcBorders>
              <w:top w:val="nil"/>
              <w:left w:val="nil"/>
              <w:bottom w:val="nil"/>
              <w:right w:val="nil"/>
            </w:tcBorders>
            <w:shd w:val="clear" w:color="auto" w:fill="auto"/>
            <w:noWrap/>
          </w:tcPr>
          <w:p w14:paraId="32E760EE" w14:textId="5A7660D7" w:rsidR="00A306D7" w:rsidRPr="00671EF4" w:rsidRDefault="00EE324D" w:rsidP="007949F7">
            <w:pPr>
              <w:spacing w:line="360" w:lineRule="auto"/>
              <w:jc w:val="right"/>
              <w:rPr>
                <w:i/>
                <w:iCs/>
                <w:color w:val="000000"/>
              </w:rPr>
            </w:pPr>
            <w:r>
              <w:rPr>
                <w:i/>
                <w:iCs/>
                <w:color w:val="000000"/>
              </w:rPr>
              <w:t>15</w:t>
            </w:r>
            <w:r w:rsidR="000E79C1">
              <w:rPr>
                <w:i/>
                <w:iCs/>
                <w:color w:val="000000"/>
              </w:rPr>
              <w:t>,</w:t>
            </w:r>
            <w:r>
              <w:rPr>
                <w:i/>
                <w:iCs/>
                <w:color w:val="000000"/>
              </w:rPr>
              <w:t>769</w:t>
            </w:r>
            <w:r w:rsidR="000E79C1">
              <w:rPr>
                <w:i/>
                <w:iCs/>
                <w:color w:val="000000"/>
              </w:rPr>
              <w:t>,</w:t>
            </w:r>
            <w:r>
              <w:rPr>
                <w:i/>
                <w:iCs/>
                <w:color w:val="000000"/>
              </w:rPr>
              <w:t>203.40</w:t>
            </w:r>
          </w:p>
        </w:tc>
        <w:tc>
          <w:tcPr>
            <w:tcW w:w="1640" w:type="dxa"/>
            <w:tcBorders>
              <w:top w:val="nil"/>
              <w:left w:val="nil"/>
              <w:bottom w:val="nil"/>
              <w:right w:val="nil"/>
            </w:tcBorders>
          </w:tcPr>
          <w:p w14:paraId="1FAA6B8D" w14:textId="5CEBBDED" w:rsidR="00A306D7" w:rsidRDefault="00A306D7" w:rsidP="007949F7">
            <w:pPr>
              <w:spacing w:line="360" w:lineRule="auto"/>
              <w:jc w:val="right"/>
              <w:rPr>
                <w:i/>
                <w:iCs/>
                <w:color w:val="000000"/>
              </w:rPr>
            </w:pPr>
            <w:r>
              <w:rPr>
                <w:i/>
                <w:iCs/>
                <w:color w:val="000000"/>
              </w:rPr>
              <w:t>14,730,647.77</w:t>
            </w:r>
          </w:p>
        </w:tc>
        <w:tc>
          <w:tcPr>
            <w:tcW w:w="1640" w:type="dxa"/>
            <w:tcBorders>
              <w:top w:val="nil"/>
              <w:left w:val="nil"/>
              <w:bottom w:val="nil"/>
              <w:right w:val="nil"/>
            </w:tcBorders>
            <w:shd w:val="clear" w:color="auto" w:fill="auto"/>
            <w:noWrap/>
            <w:vAlign w:val="center"/>
          </w:tcPr>
          <w:p w14:paraId="32E760EF" w14:textId="04C7061E" w:rsidR="00A306D7" w:rsidRDefault="00A306D7" w:rsidP="007949F7">
            <w:pPr>
              <w:spacing w:line="360" w:lineRule="auto"/>
              <w:jc w:val="right"/>
              <w:rPr>
                <w:i/>
                <w:iCs/>
                <w:color w:val="000000"/>
              </w:rPr>
            </w:pPr>
          </w:p>
        </w:tc>
      </w:tr>
      <w:tr w:rsidR="00A306D7" w14:paraId="32E760F8" w14:textId="77777777" w:rsidTr="00671EF4">
        <w:trPr>
          <w:trHeight w:val="282"/>
        </w:trPr>
        <w:tc>
          <w:tcPr>
            <w:tcW w:w="5150" w:type="dxa"/>
            <w:tcBorders>
              <w:top w:val="nil"/>
              <w:left w:val="nil"/>
              <w:bottom w:val="nil"/>
              <w:right w:val="nil"/>
            </w:tcBorders>
            <w:shd w:val="clear" w:color="auto" w:fill="auto"/>
            <w:noWrap/>
            <w:hideMark/>
          </w:tcPr>
          <w:p w14:paraId="32E760F5" w14:textId="77777777" w:rsidR="00A306D7" w:rsidRDefault="00A306D7" w:rsidP="007949F7">
            <w:pPr>
              <w:spacing w:line="360" w:lineRule="auto"/>
              <w:rPr>
                <w:i/>
                <w:iCs/>
                <w:color w:val="000000"/>
              </w:rPr>
            </w:pPr>
            <w:r>
              <w:rPr>
                <w:i/>
                <w:iCs/>
                <w:color w:val="000000"/>
              </w:rPr>
              <w:t>Prestaciones Económicas</w:t>
            </w:r>
          </w:p>
        </w:tc>
        <w:tc>
          <w:tcPr>
            <w:tcW w:w="1640" w:type="dxa"/>
            <w:tcBorders>
              <w:top w:val="nil"/>
              <w:left w:val="nil"/>
              <w:bottom w:val="nil"/>
              <w:right w:val="nil"/>
            </w:tcBorders>
            <w:shd w:val="clear" w:color="auto" w:fill="auto"/>
            <w:noWrap/>
          </w:tcPr>
          <w:p w14:paraId="32E760F6" w14:textId="6C460018" w:rsidR="00A306D7" w:rsidRPr="00671EF4" w:rsidRDefault="00D71060" w:rsidP="007949F7">
            <w:pPr>
              <w:spacing w:line="360" w:lineRule="auto"/>
              <w:jc w:val="right"/>
              <w:rPr>
                <w:i/>
                <w:iCs/>
                <w:color w:val="000000"/>
              </w:rPr>
            </w:pPr>
            <w:r>
              <w:rPr>
                <w:i/>
                <w:iCs/>
                <w:color w:val="000000"/>
              </w:rPr>
              <w:t>34,112,320.00</w:t>
            </w:r>
          </w:p>
        </w:tc>
        <w:tc>
          <w:tcPr>
            <w:tcW w:w="1640" w:type="dxa"/>
            <w:tcBorders>
              <w:top w:val="nil"/>
              <w:left w:val="nil"/>
              <w:bottom w:val="nil"/>
              <w:right w:val="nil"/>
            </w:tcBorders>
          </w:tcPr>
          <w:p w14:paraId="3CEC028E" w14:textId="2E479ECE" w:rsidR="00A306D7" w:rsidRDefault="00A306D7" w:rsidP="007949F7">
            <w:pPr>
              <w:spacing w:line="360" w:lineRule="auto"/>
              <w:jc w:val="right"/>
              <w:rPr>
                <w:i/>
                <w:iCs/>
                <w:color w:val="000000"/>
              </w:rPr>
            </w:pPr>
            <w:r>
              <w:rPr>
                <w:i/>
                <w:iCs/>
                <w:color w:val="000000"/>
              </w:rPr>
              <w:t>20,765,569.92</w:t>
            </w:r>
          </w:p>
        </w:tc>
        <w:tc>
          <w:tcPr>
            <w:tcW w:w="1640" w:type="dxa"/>
            <w:tcBorders>
              <w:top w:val="nil"/>
              <w:left w:val="nil"/>
              <w:bottom w:val="nil"/>
              <w:right w:val="nil"/>
            </w:tcBorders>
            <w:shd w:val="clear" w:color="auto" w:fill="auto"/>
            <w:noWrap/>
            <w:vAlign w:val="center"/>
          </w:tcPr>
          <w:p w14:paraId="32E760F7" w14:textId="26C2FCB2" w:rsidR="00A306D7" w:rsidRDefault="00A306D7" w:rsidP="007949F7">
            <w:pPr>
              <w:spacing w:line="360" w:lineRule="auto"/>
              <w:jc w:val="right"/>
              <w:rPr>
                <w:i/>
                <w:iCs/>
                <w:color w:val="000000"/>
              </w:rPr>
            </w:pPr>
          </w:p>
        </w:tc>
      </w:tr>
      <w:tr w:rsidR="00A306D7" w14:paraId="32E760FC" w14:textId="77777777" w:rsidTr="00671EF4">
        <w:trPr>
          <w:trHeight w:val="282"/>
        </w:trPr>
        <w:tc>
          <w:tcPr>
            <w:tcW w:w="5150" w:type="dxa"/>
            <w:tcBorders>
              <w:top w:val="nil"/>
              <w:left w:val="nil"/>
              <w:bottom w:val="nil"/>
              <w:right w:val="nil"/>
            </w:tcBorders>
            <w:shd w:val="clear" w:color="auto" w:fill="auto"/>
            <w:noWrap/>
            <w:hideMark/>
          </w:tcPr>
          <w:p w14:paraId="32E760F9" w14:textId="77777777" w:rsidR="00A306D7" w:rsidRDefault="00A306D7" w:rsidP="007949F7">
            <w:pPr>
              <w:spacing w:line="360" w:lineRule="auto"/>
              <w:rPr>
                <w:i/>
                <w:iCs/>
                <w:color w:val="000000"/>
              </w:rPr>
            </w:pPr>
            <w:r>
              <w:rPr>
                <w:i/>
                <w:iCs/>
                <w:color w:val="000000"/>
              </w:rPr>
              <w:t>Proporción de Vacaciones no Disfrutadas</w:t>
            </w:r>
          </w:p>
        </w:tc>
        <w:tc>
          <w:tcPr>
            <w:tcW w:w="1640" w:type="dxa"/>
            <w:tcBorders>
              <w:top w:val="nil"/>
              <w:left w:val="nil"/>
              <w:bottom w:val="nil"/>
              <w:right w:val="nil"/>
            </w:tcBorders>
            <w:shd w:val="clear" w:color="auto" w:fill="auto"/>
            <w:noWrap/>
          </w:tcPr>
          <w:p w14:paraId="32E760FA" w14:textId="0E834333" w:rsidR="00A306D7" w:rsidRPr="00671EF4" w:rsidRDefault="00D71060" w:rsidP="007949F7">
            <w:pPr>
              <w:spacing w:line="360" w:lineRule="auto"/>
              <w:jc w:val="right"/>
              <w:rPr>
                <w:i/>
                <w:iCs/>
                <w:color w:val="000000"/>
              </w:rPr>
            </w:pPr>
            <w:r>
              <w:rPr>
                <w:i/>
                <w:iCs/>
                <w:color w:val="000000"/>
              </w:rPr>
              <w:t>3,892,882.87</w:t>
            </w:r>
          </w:p>
        </w:tc>
        <w:tc>
          <w:tcPr>
            <w:tcW w:w="1640" w:type="dxa"/>
            <w:tcBorders>
              <w:top w:val="nil"/>
              <w:left w:val="nil"/>
              <w:bottom w:val="nil"/>
              <w:right w:val="nil"/>
            </w:tcBorders>
          </w:tcPr>
          <w:p w14:paraId="34C35F60" w14:textId="0CA41EFA" w:rsidR="00A306D7" w:rsidRDefault="00A306D7" w:rsidP="007949F7">
            <w:pPr>
              <w:spacing w:line="360" w:lineRule="auto"/>
              <w:jc w:val="right"/>
              <w:rPr>
                <w:i/>
                <w:iCs/>
                <w:color w:val="000000"/>
              </w:rPr>
            </w:pPr>
            <w:r>
              <w:rPr>
                <w:i/>
                <w:iCs/>
                <w:color w:val="000000"/>
              </w:rPr>
              <w:t>150,761.43</w:t>
            </w:r>
          </w:p>
        </w:tc>
        <w:tc>
          <w:tcPr>
            <w:tcW w:w="1640" w:type="dxa"/>
            <w:tcBorders>
              <w:top w:val="nil"/>
              <w:left w:val="nil"/>
              <w:bottom w:val="nil"/>
              <w:right w:val="nil"/>
            </w:tcBorders>
            <w:shd w:val="clear" w:color="auto" w:fill="auto"/>
            <w:noWrap/>
            <w:vAlign w:val="center"/>
          </w:tcPr>
          <w:p w14:paraId="32E760FB" w14:textId="21650924" w:rsidR="00A306D7" w:rsidRDefault="00A306D7" w:rsidP="007949F7">
            <w:pPr>
              <w:spacing w:line="360" w:lineRule="auto"/>
              <w:jc w:val="right"/>
              <w:rPr>
                <w:i/>
                <w:iCs/>
                <w:color w:val="000000"/>
              </w:rPr>
            </w:pPr>
          </w:p>
        </w:tc>
      </w:tr>
      <w:tr w:rsidR="00A306D7" w14:paraId="32E76100" w14:textId="77777777" w:rsidTr="00671EF4">
        <w:trPr>
          <w:trHeight w:val="282"/>
        </w:trPr>
        <w:tc>
          <w:tcPr>
            <w:tcW w:w="5150" w:type="dxa"/>
            <w:tcBorders>
              <w:top w:val="nil"/>
              <w:left w:val="nil"/>
              <w:bottom w:val="nil"/>
              <w:right w:val="nil"/>
            </w:tcBorders>
            <w:shd w:val="clear" w:color="auto" w:fill="auto"/>
            <w:noWrap/>
            <w:hideMark/>
          </w:tcPr>
          <w:p w14:paraId="32E760FD" w14:textId="77777777" w:rsidR="00A306D7" w:rsidRDefault="00A306D7" w:rsidP="007949F7">
            <w:pPr>
              <w:spacing w:line="360" w:lineRule="auto"/>
              <w:rPr>
                <w:i/>
                <w:iCs/>
                <w:color w:val="000000"/>
              </w:rPr>
            </w:pPr>
            <w:r>
              <w:rPr>
                <w:i/>
                <w:iCs/>
                <w:color w:val="000000"/>
              </w:rPr>
              <w:t>Gratificación por Aniversario Institucional</w:t>
            </w:r>
          </w:p>
        </w:tc>
        <w:tc>
          <w:tcPr>
            <w:tcW w:w="1640" w:type="dxa"/>
            <w:tcBorders>
              <w:top w:val="nil"/>
              <w:left w:val="nil"/>
              <w:bottom w:val="nil"/>
              <w:right w:val="nil"/>
            </w:tcBorders>
            <w:shd w:val="clear" w:color="auto" w:fill="auto"/>
            <w:noWrap/>
          </w:tcPr>
          <w:p w14:paraId="32E760FE" w14:textId="441FFF2D" w:rsidR="00A306D7" w:rsidRPr="00671EF4" w:rsidRDefault="00D71060" w:rsidP="007949F7">
            <w:pPr>
              <w:spacing w:line="360" w:lineRule="auto"/>
              <w:jc w:val="right"/>
              <w:rPr>
                <w:i/>
                <w:iCs/>
                <w:color w:val="000000"/>
              </w:rPr>
            </w:pPr>
            <w:r>
              <w:rPr>
                <w:i/>
                <w:iCs/>
                <w:color w:val="000000"/>
              </w:rPr>
              <w:t>39,949,643.56</w:t>
            </w:r>
          </w:p>
        </w:tc>
        <w:tc>
          <w:tcPr>
            <w:tcW w:w="1640" w:type="dxa"/>
            <w:tcBorders>
              <w:top w:val="nil"/>
              <w:left w:val="nil"/>
              <w:bottom w:val="nil"/>
              <w:right w:val="nil"/>
            </w:tcBorders>
          </w:tcPr>
          <w:p w14:paraId="7519BCAE" w14:textId="0F452401" w:rsidR="00A306D7" w:rsidRDefault="00A306D7" w:rsidP="007949F7">
            <w:pPr>
              <w:spacing w:line="360" w:lineRule="auto"/>
              <w:jc w:val="right"/>
              <w:rPr>
                <w:i/>
                <w:iCs/>
                <w:color w:val="000000"/>
              </w:rPr>
            </w:pPr>
            <w:r>
              <w:rPr>
                <w:i/>
                <w:iCs/>
                <w:color w:val="000000"/>
              </w:rPr>
              <w:t>36,932,951.61</w:t>
            </w:r>
          </w:p>
        </w:tc>
        <w:tc>
          <w:tcPr>
            <w:tcW w:w="1640" w:type="dxa"/>
            <w:tcBorders>
              <w:top w:val="nil"/>
              <w:left w:val="nil"/>
              <w:bottom w:val="nil"/>
              <w:right w:val="nil"/>
            </w:tcBorders>
            <w:shd w:val="clear" w:color="auto" w:fill="auto"/>
            <w:noWrap/>
            <w:vAlign w:val="center"/>
          </w:tcPr>
          <w:p w14:paraId="32E760FF" w14:textId="3C1C60B4" w:rsidR="00A306D7" w:rsidRDefault="00A306D7" w:rsidP="007949F7">
            <w:pPr>
              <w:spacing w:line="360" w:lineRule="auto"/>
              <w:jc w:val="right"/>
              <w:rPr>
                <w:i/>
                <w:iCs/>
                <w:color w:val="000000"/>
              </w:rPr>
            </w:pPr>
          </w:p>
        </w:tc>
      </w:tr>
      <w:tr w:rsidR="00A306D7" w14:paraId="32E76104" w14:textId="77777777" w:rsidTr="00671EF4">
        <w:trPr>
          <w:trHeight w:val="282"/>
        </w:trPr>
        <w:tc>
          <w:tcPr>
            <w:tcW w:w="5150" w:type="dxa"/>
            <w:tcBorders>
              <w:top w:val="nil"/>
              <w:left w:val="nil"/>
              <w:bottom w:val="nil"/>
              <w:right w:val="nil"/>
            </w:tcBorders>
            <w:shd w:val="clear" w:color="auto" w:fill="auto"/>
            <w:noWrap/>
            <w:hideMark/>
          </w:tcPr>
          <w:p w14:paraId="32E76101" w14:textId="77777777" w:rsidR="00A306D7" w:rsidRDefault="00A306D7" w:rsidP="007949F7">
            <w:pPr>
              <w:spacing w:line="360" w:lineRule="auto"/>
              <w:rPr>
                <w:i/>
                <w:iCs/>
                <w:color w:val="000000"/>
              </w:rPr>
            </w:pPr>
            <w:r>
              <w:rPr>
                <w:i/>
                <w:iCs/>
                <w:color w:val="000000"/>
              </w:rPr>
              <w:lastRenderedPageBreak/>
              <w:t>Prima por Antigüedad</w:t>
            </w:r>
          </w:p>
        </w:tc>
        <w:tc>
          <w:tcPr>
            <w:tcW w:w="1640" w:type="dxa"/>
            <w:tcBorders>
              <w:top w:val="nil"/>
              <w:left w:val="nil"/>
              <w:bottom w:val="nil"/>
              <w:right w:val="nil"/>
            </w:tcBorders>
            <w:shd w:val="clear" w:color="auto" w:fill="auto"/>
            <w:noWrap/>
          </w:tcPr>
          <w:p w14:paraId="32E76102" w14:textId="2505EC93" w:rsidR="00A306D7" w:rsidRPr="00671EF4" w:rsidRDefault="003D457D" w:rsidP="007949F7">
            <w:pPr>
              <w:spacing w:line="360" w:lineRule="auto"/>
              <w:jc w:val="right"/>
              <w:rPr>
                <w:i/>
                <w:iCs/>
                <w:color w:val="000000"/>
              </w:rPr>
            </w:pPr>
            <w:r>
              <w:rPr>
                <w:i/>
                <w:iCs/>
                <w:color w:val="000000"/>
              </w:rPr>
              <w:t>12,224,023.95</w:t>
            </w:r>
          </w:p>
        </w:tc>
        <w:tc>
          <w:tcPr>
            <w:tcW w:w="1640" w:type="dxa"/>
            <w:tcBorders>
              <w:top w:val="nil"/>
              <w:left w:val="nil"/>
              <w:bottom w:val="nil"/>
              <w:right w:val="nil"/>
            </w:tcBorders>
          </w:tcPr>
          <w:p w14:paraId="0D3B1069" w14:textId="6A830344" w:rsidR="00A306D7" w:rsidRDefault="00A306D7" w:rsidP="007949F7">
            <w:pPr>
              <w:spacing w:line="360" w:lineRule="auto"/>
              <w:jc w:val="right"/>
              <w:rPr>
                <w:i/>
                <w:iCs/>
                <w:color w:val="000000"/>
              </w:rPr>
            </w:pPr>
            <w:r>
              <w:rPr>
                <w:i/>
                <w:iCs/>
                <w:color w:val="000000"/>
              </w:rPr>
              <w:t>9,991,132.14</w:t>
            </w:r>
          </w:p>
        </w:tc>
        <w:tc>
          <w:tcPr>
            <w:tcW w:w="1640" w:type="dxa"/>
            <w:tcBorders>
              <w:top w:val="nil"/>
              <w:left w:val="nil"/>
              <w:bottom w:val="nil"/>
              <w:right w:val="nil"/>
            </w:tcBorders>
            <w:shd w:val="clear" w:color="auto" w:fill="auto"/>
            <w:noWrap/>
            <w:vAlign w:val="center"/>
          </w:tcPr>
          <w:p w14:paraId="32E76103" w14:textId="27B69CD4" w:rsidR="00A306D7" w:rsidRDefault="00A306D7" w:rsidP="007949F7">
            <w:pPr>
              <w:spacing w:line="360" w:lineRule="auto"/>
              <w:jc w:val="right"/>
              <w:rPr>
                <w:i/>
                <w:iCs/>
                <w:color w:val="000000"/>
              </w:rPr>
            </w:pPr>
          </w:p>
        </w:tc>
      </w:tr>
      <w:tr w:rsidR="00A306D7" w14:paraId="32E76108" w14:textId="77777777" w:rsidTr="00671EF4">
        <w:trPr>
          <w:trHeight w:val="282"/>
        </w:trPr>
        <w:tc>
          <w:tcPr>
            <w:tcW w:w="5150" w:type="dxa"/>
            <w:tcBorders>
              <w:top w:val="nil"/>
              <w:left w:val="nil"/>
              <w:bottom w:val="nil"/>
              <w:right w:val="nil"/>
            </w:tcBorders>
            <w:shd w:val="clear" w:color="auto" w:fill="auto"/>
            <w:noWrap/>
            <w:hideMark/>
          </w:tcPr>
          <w:p w14:paraId="32E76105" w14:textId="77777777" w:rsidR="00A306D7" w:rsidRDefault="00A306D7" w:rsidP="007949F7">
            <w:pPr>
              <w:spacing w:line="360" w:lineRule="auto"/>
              <w:rPr>
                <w:i/>
                <w:iCs/>
                <w:color w:val="000000"/>
              </w:rPr>
            </w:pPr>
            <w:r>
              <w:rPr>
                <w:i/>
                <w:iCs/>
                <w:color w:val="000000"/>
              </w:rPr>
              <w:t>Bono Escolar</w:t>
            </w:r>
          </w:p>
        </w:tc>
        <w:tc>
          <w:tcPr>
            <w:tcW w:w="1640" w:type="dxa"/>
            <w:tcBorders>
              <w:top w:val="nil"/>
              <w:left w:val="nil"/>
              <w:bottom w:val="nil"/>
              <w:right w:val="nil"/>
            </w:tcBorders>
            <w:shd w:val="clear" w:color="auto" w:fill="auto"/>
            <w:noWrap/>
          </w:tcPr>
          <w:p w14:paraId="32E76106" w14:textId="5301D8BB" w:rsidR="00A306D7" w:rsidRPr="00671EF4" w:rsidRDefault="003D457D" w:rsidP="007949F7">
            <w:pPr>
              <w:spacing w:line="360" w:lineRule="auto"/>
              <w:jc w:val="right"/>
              <w:rPr>
                <w:i/>
                <w:iCs/>
                <w:color w:val="000000"/>
              </w:rPr>
            </w:pPr>
            <w:r>
              <w:rPr>
                <w:i/>
                <w:iCs/>
                <w:color w:val="000000"/>
              </w:rPr>
              <w:t>12,606,452.44</w:t>
            </w:r>
          </w:p>
        </w:tc>
        <w:tc>
          <w:tcPr>
            <w:tcW w:w="1640" w:type="dxa"/>
            <w:tcBorders>
              <w:top w:val="nil"/>
              <w:left w:val="nil"/>
              <w:bottom w:val="nil"/>
              <w:right w:val="nil"/>
            </w:tcBorders>
          </w:tcPr>
          <w:p w14:paraId="4163ACCD" w14:textId="3F213DCA" w:rsidR="00A306D7" w:rsidRDefault="00A306D7" w:rsidP="007949F7">
            <w:pPr>
              <w:spacing w:line="360" w:lineRule="auto"/>
              <w:jc w:val="right"/>
              <w:rPr>
                <w:i/>
                <w:iCs/>
                <w:color w:val="000000"/>
              </w:rPr>
            </w:pPr>
            <w:r>
              <w:rPr>
                <w:i/>
                <w:iCs/>
                <w:color w:val="000000"/>
              </w:rPr>
              <w:t>11,150,573.59</w:t>
            </w:r>
          </w:p>
        </w:tc>
        <w:tc>
          <w:tcPr>
            <w:tcW w:w="1640" w:type="dxa"/>
            <w:tcBorders>
              <w:top w:val="nil"/>
              <w:left w:val="nil"/>
              <w:bottom w:val="nil"/>
              <w:right w:val="nil"/>
            </w:tcBorders>
            <w:shd w:val="clear" w:color="auto" w:fill="auto"/>
            <w:noWrap/>
            <w:vAlign w:val="center"/>
          </w:tcPr>
          <w:p w14:paraId="32E76107" w14:textId="23AB36C7" w:rsidR="00A306D7" w:rsidRDefault="00A306D7" w:rsidP="007949F7">
            <w:pPr>
              <w:spacing w:line="360" w:lineRule="auto"/>
              <w:jc w:val="right"/>
              <w:rPr>
                <w:i/>
                <w:iCs/>
                <w:color w:val="000000"/>
              </w:rPr>
            </w:pPr>
          </w:p>
        </w:tc>
      </w:tr>
      <w:tr w:rsidR="00A306D7" w14:paraId="32E7610C" w14:textId="77777777" w:rsidTr="00671EF4">
        <w:trPr>
          <w:trHeight w:val="282"/>
        </w:trPr>
        <w:tc>
          <w:tcPr>
            <w:tcW w:w="5150" w:type="dxa"/>
            <w:tcBorders>
              <w:top w:val="nil"/>
              <w:left w:val="nil"/>
              <w:bottom w:val="nil"/>
              <w:right w:val="nil"/>
            </w:tcBorders>
            <w:shd w:val="clear" w:color="auto" w:fill="auto"/>
            <w:noWrap/>
            <w:hideMark/>
          </w:tcPr>
          <w:p w14:paraId="32E76109" w14:textId="77777777" w:rsidR="00A306D7" w:rsidRDefault="00A306D7" w:rsidP="007949F7">
            <w:pPr>
              <w:spacing w:line="360" w:lineRule="auto"/>
              <w:rPr>
                <w:i/>
                <w:iCs/>
                <w:color w:val="000000"/>
              </w:rPr>
            </w:pPr>
            <w:r>
              <w:rPr>
                <w:i/>
                <w:iCs/>
                <w:color w:val="000000"/>
              </w:rPr>
              <w:t>Otras Gratificaciones</w:t>
            </w:r>
          </w:p>
        </w:tc>
        <w:tc>
          <w:tcPr>
            <w:tcW w:w="1640" w:type="dxa"/>
            <w:tcBorders>
              <w:top w:val="nil"/>
              <w:left w:val="nil"/>
              <w:bottom w:val="nil"/>
              <w:right w:val="nil"/>
            </w:tcBorders>
            <w:shd w:val="clear" w:color="auto" w:fill="auto"/>
            <w:noWrap/>
          </w:tcPr>
          <w:p w14:paraId="32E7610A" w14:textId="0D1483E1" w:rsidR="00A306D7" w:rsidRPr="00671EF4" w:rsidRDefault="003D457D" w:rsidP="007949F7">
            <w:pPr>
              <w:spacing w:line="360" w:lineRule="auto"/>
              <w:jc w:val="right"/>
              <w:rPr>
                <w:i/>
                <w:iCs/>
                <w:color w:val="000000"/>
              </w:rPr>
            </w:pPr>
            <w:r>
              <w:rPr>
                <w:i/>
                <w:iCs/>
                <w:color w:val="000000"/>
              </w:rPr>
              <w:t>57,353,392.07</w:t>
            </w:r>
          </w:p>
        </w:tc>
        <w:tc>
          <w:tcPr>
            <w:tcW w:w="1640" w:type="dxa"/>
            <w:tcBorders>
              <w:top w:val="nil"/>
              <w:left w:val="nil"/>
              <w:bottom w:val="nil"/>
              <w:right w:val="nil"/>
            </w:tcBorders>
          </w:tcPr>
          <w:p w14:paraId="7AB78671" w14:textId="794C5269" w:rsidR="00A306D7" w:rsidRDefault="00A306D7" w:rsidP="007949F7">
            <w:pPr>
              <w:spacing w:line="360" w:lineRule="auto"/>
              <w:jc w:val="right"/>
              <w:rPr>
                <w:i/>
                <w:iCs/>
                <w:color w:val="000000"/>
              </w:rPr>
            </w:pPr>
            <w:r>
              <w:rPr>
                <w:i/>
                <w:iCs/>
                <w:color w:val="000000"/>
              </w:rPr>
              <w:t>54,917,577.47</w:t>
            </w:r>
          </w:p>
        </w:tc>
        <w:tc>
          <w:tcPr>
            <w:tcW w:w="1640" w:type="dxa"/>
            <w:tcBorders>
              <w:top w:val="nil"/>
              <w:left w:val="nil"/>
              <w:bottom w:val="nil"/>
              <w:right w:val="nil"/>
            </w:tcBorders>
            <w:shd w:val="clear" w:color="auto" w:fill="auto"/>
            <w:noWrap/>
            <w:vAlign w:val="center"/>
          </w:tcPr>
          <w:p w14:paraId="32E7610B" w14:textId="7A6127E3" w:rsidR="00A306D7" w:rsidRDefault="00A306D7" w:rsidP="007949F7">
            <w:pPr>
              <w:spacing w:line="360" w:lineRule="auto"/>
              <w:jc w:val="right"/>
              <w:rPr>
                <w:i/>
                <w:iCs/>
                <w:color w:val="000000"/>
              </w:rPr>
            </w:pPr>
          </w:p>
        </w:tc>
      </w:tr>
      <w:tr w:rsidR="00A306D7" w14:paraId="32E76110" w14:textId="77777777" w:rsidTr="00671EF4">
        <w:trPr>
          <w:trHeight w:val="282"/>
        </w:trPr>
        <w:tc>
          <w:tcPr>
            <w:tcW w:w="5150" w:type="dxa"/>
            <w:tcBorders>
              <w:top w:val="nil"/>
              <w:left w:val="nil"/>
              <w:bottom w:val="nil"/>
              <w:right w:val="nil"/>
            </w:tcBorders>
            <w:shd w:val="clear" w:color="auto" w:fill="auto"/>
            <w:noWrap/>
            <w:hideMark/>
          </w:tcPr>
          <w:p w14:paraId="32E7610D" w14:textId="77777777" w:rsidR="00A306D7" w:rsidRDefault="00A306D7" w:rsidP="007949F7">
            <w:pPr>
              <w:spacing w:line="360" w:lineRule="auto"/>
              <w:rPr>
                <w:i/>
                <w:iCs/>
                <w:color w:val="000000"/>
              </w:rPr>
            </w:pPr>
            <w:r>
              <w:rPr>
                <w:i/>
                <w:iCs/>
                <w:color w:val="000000"/>
              </w:rPr>
              <w:t>Contribuciones al Seguro de Salud</w:t>
            </w:r>
          </w:p>
        </w:tc>
        <w:tc>
          <w:tcPr>
            <w:tcW w:w="1640" w:type="dxa"/>
            <w:tcBorders>
              <w:top w:val="nil"/>
              <w:left w:val="nil"/>
              <w:bottom w:val="nil"/>
              <w:right w:val="nil"/>
            </w:tcBorders>
            <w:shd w:val="clear" w:color="auto" w:fill="auto"/>
            <w:noWrap/>
          </w:tcPr>
          <w:p w14:paraId="32E7610E" w14:textId="028DFC41" w:rsidR="00A306D7" w:rsidRPr="00671EF4" w:rsidRDefault="0078226D" w:rsidP="007949F7">
            <w:pPr>
              <w:spacing w:line="360" w:lineRule="auto"/>
              <w:jc w:val="right"/>
              <w:rPr>
                <w:i/>
                <w:iCs/>
                <w:color w:val="000000"/>
              </w:rPr>
            </w:pPr>
            <w:r>
              <w:rPr>
                <w:i/>
                <w:iCs/>
                <w:color w:val="000000"/>
              </w:rPr>
              <w:t>11,748,020.41</w:t>
            </w:r>
          </w:p>
        </w:tc>
        <w:tc>
          <w:tcPr>
            <w:tcW w:w="1640" w:type="dxa"/>
            <w:tcBorders>
              <w:top w:val="nil"/>
              <w:left w:val="nil"/>
              <w:bottom w:val="nil"/>
              <w:right w:val="nil"/>
            </w:tcBorders>
          </w:tcPr>
          <w:p w14:paraId="7D027CC0" w14:textId="000272CB" w:rsidR="00A306D7" w:rsidRDefault="00A306D7" w:rsidP="007949F7">
            <w:pPr>
              <w:spacing w:line="360" w:lineRule="auto"/>
              <w:jc w:val="right"/>
              <w:rPr>
                <w:i/>
                <w:iCs/>
                <w:color w:val="000000"/>
              </w:rPr>
            </w:pPr>
            <w:r>
              <w:rPr>
                <w:i/>
                <w:iCs/>
                <w:color w:val="000000"/>
              </w:rPr>
              <w:t>10,309,861.71</w:t>
            </w:r>
          </w:p>
        </w:tc>
        <w:tc>
          <w:tcPr>
            <w:tcW w:w="1640" w:type="dxa"/>
            <w:tcBorders>
              <w:top w:val="nil"/>
              <w:left w:val="nil"/>
              <w:bottom w:val="nil"/>
              <w:right w:val="nil"/>
            </w:tcBorders>
            <w:shd w:val="clear" w:color="auto" w:fill="auto"/>
            <w:noWrap/>
            <w:vAlign w:val="center"/>
          </w:tcPr>
          <w:p w14:paraId="32E7610F" w14:textId="7C44271F" w:rsidR="00A306D7" w:rsidRDefault="00A306D7" w:rsidP="007949F7">
            <w:pPr>
              <w:spacing w:line="360" w:lineRule="auto"/>
              <w:jc w:val="right"/>
              <w:rPr>
                <w:i/>
                <w:iCs/>
                <w:color w:val="000000"/>
              </w:rPr>
            </w:pPr>
          </w:p>
        </w:tc>
      </w:tr>
      <w:tr w:rsidR="00A306D7" w14:paraId="32E76114" w14:textId="77777777" w:rsidTr="00671EF4">
        <w:trPr>
          <w:trHeight w:val="282"/>
        </w:trPr>
        <w:tc>
          <w:tcPr>
            <w:tcW w:w="5150" w:type="dxa"/>
            <w:tcBorders>
              <w:top w:val="nil"/>
              <w:left w:val="nil"/>
              <w:bottom w:val="nil"/>
              <w:right w:val="nil"/>
            </w:tcBorders>
            <w:shd w:val="clear" w:color="auto" w:fill="auto"/>
            <w:noWrap/>
            <w:hideMark/>
          </w:tcPr>
          <w:p w14:paraId="32E76111" w14:textId="77777777" w:rsidR="00A306D7" w:rsidRDefault="00A306D7" w:rsidP="007949F7">
            <w:pPr>
              <w:spacing w:line="360" w:lineRule="auto"/>
              <w:rPr>
                <w:i/>
                <w:iCs/>
                <w:color w:val="000000"/>
              </w:rPr>
            </w:pPr>
            <w:r>
              <w:rPr>
                <w:i/>
                <w:iCs/>
                <w:color w:val="000000"/>
              </w:rPr>
              <w:t>Contribuciones al Seguro de Pensiones</w:t>
            </w:r>
          </w:p>
        </w:tc>
        <w:tc>
          <w:tcPr>
            <w:tcW w:w="1640" w:type="dxa"/>
            <w:tcBorders>
              <w:top w:val="nil"/>
              <w:left w:val="nil"/>
              <w:bottom w:val="nil"/>
              <w:right w:val="nil"/>
            </w:tcBorders>
            <w:shd w:val="clear" w:color="auto" w:fill="auto"/>
            <w:noWrap/>
          </w:tcPr>
          <w:p w14:paraId="32E76112" w14:textId="0C01A086" w:rsidR="00A306D7" w:rsidRPr="00671EF4" w:rsidRDefault="0078226D" w:rsidP="007949F7">
            <w:pPr>
              <w:spacing w:line="360" w:lineRule="auto"/>
              <w:jc w:val="right"/>
              <w:rPr>
                <w:i/>
                <w:iCs/>
                <w:color w:val="000000"/>
              </w:rPr>
            </w:pPr>
            <w:r>
              <w:rPr>
                <w:i/>
                <w:iCs/>
                <w:color w:val="000000"/>
              </w:rPr>
              <w:t>13,156,096.34</w:t>
            </w:r>
          </w:p>
        </w:tc>
        <w:tc>
          <w:tcPr>
            <w:tcW w:w="1640" w:type="dxa"/>
            <w:tcBorders>
              <w:top w:val="nil"/>
              <w:left w:val="nil"/>
              <w:bottom w:val="nil"/>
              <w:right w:val="nil"/>
            </w:tcBorders>
          </w:tcPr>
          <w:p w14:paraId="396E60EB" w14:textId="78FA97E8" w:rsidR="00A306D7" w:rsidRDefault="00A306D7" w:rsidP="007949F7">
            <w:pPr>
              <w:spacing w:line="360" w:lineRule="auto"/>
              <w:jc w:val="right"/>
              <w:rPr>
                <w:i/>
                <w:iCs/>
                <w:color w:val="000000"/>
              </w:rPr>
            </w:pPr>
            <w:r w:rsidRPr="00776AD3">
              <w:rPr>
                <w:i/>
                <w:iCs/>
                <w:color w:val="000000"/>
              </w:rPr>
              <w:t>12,501,239.48</w:t>
            </w:r>
          </w:p>
        </w:tc>
        <w:tc>
          <w:tcPr>
            <w:tcW w:w="1640" w:type="dxa"/>
            <w:tcBorders>
              <w:top w:val="nil"/>
              <w:left w:val="nil"/>
              <w:bottom w:val="nil"/>
              <w:right w:val="nil"/>
            </w:tcBorders>
            <w:shd w:val="clear" w:color="auto" w:fill="auto"/>
            <w:noWrap/>
            <w:vAlign w:val="center"/>
          </w:tcPr>
          <w:p w14:paraId="32E76113" w14:textId="5D9DD39C" w:rsidR="00A306D7" w:rsidRDefault="00A306D7" w:rsidP="007949F7">
            <w:pPr>
              <w:spacing w:line="360" w:lineRule="auto"/>
              <w:jc w:val="right"/>
              <w:rPr>
                <w:i/>
                <w:iCs/>
                <w:color w:val="000000"/>
              </w:rPr>
            </w:pPr>
          </w:p>
        </w:tc>
      </w:tr>
      <w:tr w:rsidR="00A306D7" w14:paraId="32E76118" w14:textId="77777777" w:rsidTr="00671EF4">
        <w:trPr>
          <w:trHeight w:val="282"/>
        </w:trPr>
        <w:tc>
          <w:tcPr>
            <w:tcW w:w="5150" w:type="dxa"/>
            <w:tcBorders>
              <w:top w:val="nil"/>
              <w:left w:val="nil"/>
              <w:bottom w:val="nil"/>
              <w:right w:val="nil"/>
            </w:tcBorders>
            <w:shd w:val="clear" w:color="auto" w:fill="auto"/>
            <w:noWrap/>
            <w:hideMark/>
          </w:tcPr>
          <w:p w14:paraId="32E76115" w14:textId="77777777" w:rsidR="00A306D7" w:rsidRDefault="00A306D7" w:rsidP="007949F7">
            <w:pPr>
              <w:spacing w:line="360" w:lineRule="auto"/>
              <w:rPr>
                <w:i/>
                <w:iCs/>
                <w:color w:val="000000"/>
              </w:rPr>
            </w:pPr>
            <w:r>
              <w:rPr>
                <w:i/>
                <w:iCs/>
                <w:color w:val="000000"/>
              </w:rPr>
              <w:t>Contribuciones al Seguro de Riesgo Laboral</w:t>
            </w:r>
          </w:p>
        </w:tc>
        <w:tc>
          <w:tcPr>
            <w:tcW w:w="1640" w:type="dxa"/>
            <w:tcBorders>
              <w:top w:val="nil"/>
              <w:left w:val="nil"/>
              <w:bottom w:val="nil"/>
              <w:right w:val="nil"/>
            </w:tcBorders>
            <w:shd w:val="clear" w:color="auto" w:fill="auto"/>
            <w:noWrap/>
          </w:tcPr>
          <w:p w14:paraId="32E76116" w14:textId="0312EAFF" w:rsidR="00A306D7" w:rsidRPr="00700069" w:rsidRDefault="00700069" w:rsidP="007949F7">
            <w:pPr>
              <w:spacing w:line="360" w:lineRule="auto"/>
              <w:jc w:val="right"/>
              <w:rPr>
                <w:i/>
                <w:iCs/>
                <w:color w:val="000000"/>
                <w:u w:val="single"/>
              </w:rPr>
            </w:pPr>
            <w:r>
              <w:rPr>
                <w:i/>
                <w:iCs/>
                <w:color w:val="000000"/>
                <w:u w:val="single"/>
              </w:rPr>
              <w:t xml:space="preserve">    </w:t>
            </w:r>
            <w:r w:rsidR="0078226D" w:rsidRPr="00700069">
              <w:rPr>
                <w:i/>
                <w:iCs/>
                <w:color w:val="000000"/>
                <w:u w:val="single"/>
              </w:rPr>
              <w:t>1,199,408.04</w:t>
            </w:r>
          </w:p>
        </w:tc>
        <w:tc>
          <w:tcPr>
            <w:tcW w:w="1640" w:type="dxa"/>
            <w:tcBorders>
              <w:top w:val="nil"/>
              <w:left w:val="nil"/>
              <w:bottom w:val="nil"/>
              <w:right w:val="nil"/>
            </w:tcBorders>
          </w:tcPr>
          <w:p w14:paraId="00E293D1" w14:textId="40A28808" w:rsidR="00A306D7" w:rsidRDefault="00A306D7" w:rsidP="007949F7">
            <w:pPr>
              <w:spacing w:line="360" w:lineRule="auto"/>
              <w:jc w:val="right"/>
              <w:rPr>
                <w:i/>
                <w:iCs/>
                <w:color w:val="000000"/>
                <w:u w:val="single"/>
              </w:rPr>
            </w:pPr>
            <w:r>
              <w:rPr>
                <w:i/>
                <w:iCs/>
                <w:color w:val="000000"/>
                <w:u w:val="single"/>
              </w:rPr>
              <w:t xml:space="preserve">   </w:t>
            </w:r>
            <w:r w:rsidRPr="00776AD3">
              <w:rPr>
                <w:i/>
                <w:iCs/>
                <w:color w:val="000000"/>
                <w:u w:val="single"/>
              </w:rPr>
              <w:t>1,084,869.81</w:t>
            </w:r>
          </w:p>
        </w:tc>
        <w:tc>
          <w:tcPr>
            <w:tcW w:w="1640" w:type="dxa"/>
            <w:tcBorders>
              <w:top w:val="nil"/>
              <w:left w:val="nil"/>
              <w:bottom w:val="nil"/>
              <w:right w:val="nil"/>
            </w:tcBorders>
            <w:shd w:val="clear" w:color="auto" w:fill="auto"/>
            <w:noWrap/>
            <w:vAlign w:val="center"/>
          </w:tcPr>
          <w:p w14:paraId="32E76117" w14:textId="0ACBF18D" w:rsidR="00A306D7" w:rsidRDefault="00A306D7" w:rsidP="007949F7">
            <w:pPr>
              <w:spacing w:line="360" w:lineRule="auto"/>
              <w:jc w:val="right"/>
              <w:rPr>
                <w:i/>
                <w:iCs/>
                <w:color w:val="000000"/>
                <w:u w:val="single"/>
              </w:rPr>
            </w:pPr>
          </w:p>
        </w:tc>
      </w:tr>
      <w:tr w:rsidR="00A306D7" w14:paraId="32E7611C" w14:textId="77777777" w:rsidTr="00671EF4">
        <w:trPr>
          <w:trHeight w:val="282"/>
        </w:trPr>
        <w:tc>
          <w:tcPr>
            <w:tcW w:w="5150" w:type="dxa"/>
            <w:tcBorders>
              <w:top w:val="nil"/>
              <w:left w:val="nil"/>
              <w:bottom w:val="nil"/>
              <w:right w:val="nil"/>
            </w:tcBorders>
            <w:shd w:val="clear" w:color="auto" w:fill="auto"/>
            <w:noWrap/>
            <w:vAlign w:val="center"/>
            <w:hideMark/>
          </w:tcPr>
          <w:p w14:paraId="32E76119" w14:textId="77777777" w:rsidR="00A306D7" w:rsidRDefault="00A306D7" w:rsidP="007949F7">
            <w:pPr>
              <w:spacing w:line="360" w:lineRule="auto"/>
              <w:rPr>
                <w:b/>
                <w:bCs/>
                <w:i/>
                <w:iCs/>
                <w:color w:val="000000"/>
              </w:rPr>
            </w:pPr>
            <w:proofErr w:type="gramStart"/>
            <w:r>
              <w:rPr>
                <w:b/>
                <w:bCs/>
                <w:i/>
                <w:iCs/>
                <w:color w:val="000000"/>
              </w:rPr>
              <w:t>Total</w:t>
            </w:r>
            <w:proofErr w:type="gramEnd"/>
            <w:r>
              <w:rPr>
                <w:b/>
                <w:bCs/>
                <w:i/>
                <w:iCs/>
                <w:color w:val="000000"/>
              </w:rPr>
              <w:t xml:space="preserve"> Gastos de Servicios Personales</w:t>
            </w:r>
          </w:p>
        </w:tc>
        <w:tc>
          <w:tcPr>
            <w:tcW w:w="1640" w:type="dxa"/>
            <w:tcBorders>
              <w:top w:val="nil"/>
              <w:left w:val="nil"/>
              <w:bottom w:val="nil"/>
              <w:right w:val="nil"/>
            </w:tcBorders>
            <w:shd w:val="clear" w:color="auto" w:fill="auto"/>
            <w:noWrap/>
          </w:tcPr>
          <w:p w14:paraId="32E7611A" w14:textId="6E2AD614" w:rsidR="00A306D7" w:rsidRPr="004F731B" w:rsidRDefault="004F731B" w:rsidP="007949F7">
            <w:pPr>
              <w:spacing w:line="360" w:lineRule="auto"/>
              <w:jc w:val="right"/>
              <w:rPr>
                <w:b/>
                <w:bCs/>
                <w:i/>
                <w:iCs/>
                <w:color w:val="000000"/>
                <w:u w:val="double"/>
              </w:rPr>
            </w:pPr>
            <w:r w:rsidRPr="004F731B">
              <w:rPr>
                <w:b/>
                <w:bCs/>
                <w:i/>
                <w:iCs/>
                <w:color w:val="000000"/>
                <w:u w:val="double"/>
              </w:rPr>
              <w:t>439,436,649.85</w:t>
            </w:r>
          </w:p>
        </w:tc>
        <w:tc>
          <w:tcPr>
            <w:tcW w:w="1640" w:type="dxa"/>
            <w:tcBorders>
              <w:top w:val="nil"/>
              <w:left w:val="nil"/>
              <w:bottom w:val="nil"/>
              <w:right w:val="nil"/>
            </w:tcBorders>
          </w:tcPr>
          <w:p w14:paraId="5EA7D770" w14:textId="36498023" w:rsidR="00A306D7" w:rsidRDefault="00A306D7" w:rsidP="007949F7">
            <w:pPr>
              <w:spacing w:line="360" w:lineRule="auto"/>
              <w:jc w:val="right"/>
              <w:rPr>
                <w:b/>
                <w:bCs/>
                <w:i/>
                <w:iCs/>
                <w:color w:val="000000"/>
                <w:u w:val="double"/>
              </w:rPr>
            </w:pPr>
            <w:r>
              <w:rPr>
                <w:b/>
                <w:bCs/>
                <w:i/>
                <w:iCs/>
                <w:color w:val="000000"/>
                <w:u w:val="double"/>
              </w:rPr>
              <w:t>396,788,080.15</w:t>
            </w:r>
          </w:p>
        </w:tc>
        <w:tc>
          <w:tcPr>
            <w:tcW w:w="1640" w:type="dxa"/>
            <w:tcBorders>
              <w:top w:val="nil"/>
              <w:left w:val="nil"/>
              <w:bottom w:val="nil"/>
              <w:right w:val="nil"/>
            </w:tcBorders>
            <w:shd w:val="clear" w:color="auto" w:fill="auto"/>
            <w:noWrap/>
          </w:tcPr>
          <w:p w14:paraId="32E7611B" w14:textId="4CFE5496" w:rsidR="00A306D7" w:rsidRDefault="00A306D7" w:rsidP="007949F7">
            <w:pPr>
              <w:spacing w:line="360" w:lineRule="auto"/>
              <w:jc w:val="right"/>
              <w:rPr>
                <w:b/>
                <w:bCs/>
                <w:i/>
                <w:iCs/>
                <w:color w:val="000000"/>
                <w:u w:val="double"/>
              </w:rPr>
            </w:pPr>
          </w:p>
        </w:tc>
      </w:tr>
    </w:tbl>
    <w:p w14:paraId="32E7611D" w14:textId="77777777" w:rsidR="00757DA1" w:rsidRPr="003E5DBC" w:rsidRDefault="00757DA1" w:rsidP="007949F7">
      <w:pPr>
        <w:spacing w:line="360" w:lineRule="auto"/>
        <w:jc w:val="both"/>
        <w:rPr>
          <w:b/>
          <w:i/>
          <w:sz w:val="16"/>
        </w:rPr>
      </w:pPr>
    </w:p>
    <w:p w14:paraId="32E7611E" w14:textId="23B4DE8A" w:rsidR="00CF7BA4" w:rsidRPr="002E6615" w:rsidRDefault="00CF7BA4" w:rsidP="007949F7">
      <w:pPr>
        <w:spacing w:line="360" w:lineRule="auto"/>
        <w:jc w:val="both"/>
        <w:rPr>
          <w:b/>
          <w:i/>
          <w:sz w:val="28"/>
        </w:rPr>
      </w:pPr>
      <w:r w:rsidRPr="002E6615">
        <w:rPr>
          <w:b/>
          <w:i/>
          <w:sz w:val="28"/>
        </w:rPr>
        <w:t xml:space="preserve">Nota </w:t>
      </w:r>
      <w:r>
        <w:rPr>
          <w:b/>
          <w:i/>
          <w:sz w:val="28"/>
        </w:rPr>
        <w:t>2</w:t>
      </w:r>
      <w:r w:rsidR="00B334CC">
        <w:rPr>
          <w:b/>
          <w:i/>
          <w:sz w:val="28"/>
        </w:rPr>
        <w:t>0</w:t>
      </w:r>
      <w:r>
        <w:rPr>
          <w:b/>
          <w:i/>
          <w:sz w:val="28"/>
        </w:rPr>
        <w:t xml:space="preserve">: </w:t>
      </w:r>
      <w:r w:rsidRPr="00CF7BA4">
        <w:rPr>
          <w:b/>
          <w:i/>
          <w:sz w:val="28"/>
        </w:rPr>
        <w:t>Subvenciones y otros pagos por transferencias</w:t>
      </w:r>
    </w:p>
    <w:p w14:paraId="32E7611F" w14:textId="5EB4E60D" w:rsidR="00CF7BA4" w:rsidRPr="00B64446" w:rsidRDefault="00CF7BA4" w:rsidP="007949F7">
      <w:pPr>
        <w:spacing w:line="360" w:lineRule="auto"/>
        <w:jc w:val="both"/>
        <w:rPr>
          <w:i/>
          <w:sz w:val="16"/>
          <w:lang w:eastAsia="es-ES"/>
        </w:rPr>
      </w:pPr>
      <w:r w:rsidRPr="00782339">
        <w:rPr>
          <w:rStyle w:val="CarCar"/>
          <w:rFonts w:ascii="Times New Roman" w:hAnsi="Times New Roman" w:cs="Times New Roman"/>
          <w:b w:val="0"/>
          <w:bCs w:val="0"/>
          <w:i/>
          <w:sz w:val="24"/>
        </w:rPr>
        <w:t xml:space="preserve">Las Transferencias Corrientes realizadas al 31 de </w:t>
      </w:r>
      <w:proofErr w:type="gramStart"/>
      <w:r w:rsidRPr="00782339">
        <w:rPr>
          <w:rStyle w:val="CarCar"/>
          <w:rFonts w:ascii="Times New Roman" w:hAnsi="Times New Roman" w:cs="Times New Roman"/>
          <w:b w:val="0"/>
          <w:bCs w:val="0"/>
          <w:i/>
          <w:sz w:val="24"/>
        </w:rPr>
        <w:t>Diciembre</w:t>
      </w:r>
      <w:proofErr w:type="gramEnd"/>
      <w:r w:rsidRPr="00782339">
        <w:rPr>
          <w:rStyle w:val="CarCar"/>
          <w:rFonts w:ascii="Times New Roman" w:hAnsi="Times New Roman" w:cs="Times New Roman"/>
          <w:b w:val="0"/>
          <w:bCs w:val="0"/>
          <w:i/>
          <w:sz w:val="24"/>
        </w:rPr>
        <w:t xml:space="preserve"> del año 202</w:t>
      </w:r>
      <w:r w:rsidR="00BB4826">
        <w:rPr>
          <w:rStyle w:val="CarCar"/>
          <w:rFonts w:ascii="Times New Roman" w:hAnsi="Times New Roman" w:cs="Times New Roman"/>
          <w:b w:val="0"/>
          <w:bCs w:val="0"/>
          <w:i/>
          <w:sz w:val="24"/>
        </w:rPr>
        <w:t>2</w:t>
      </w:r>
      <w:r w:rsidRPr="00782339">
        <w:rPr>
          <w:rStyle w:val="CarCar"/>
          <w:rFonts w:ascii="Times New Roman" w:hAnsi="Times New Roman" w:cs="Times New Roman"/>
          <w:b w:val="0"/>
          <w:bCs w:val="0"/>
          <w:i/>
          <w:sz w:val="24"/>
        </w:rPr>
        <w:t xml:space="preserve"> presenta un balance de RD$</w:t>
      </w:r>
      <w:r w:rsidR="005076F7">
        <w:rPr>
          <w:rStyle w:val="CarCar"/>
          <w:rFonts w:ascii="Times New Roman" w:hAnsi="Times New Roman" w:cs="Times New Roman"/>
          <w:b w:val="0"/>
          <w:bCs w:val="0"/>
          <w:i/>
          <w:sz w:val="24"/>
        </w:rPr>
        <w:t>3,100,114.86</w:t>
      </w:r>
      <w:r w:rsidRPr="00782339">
        <w:rPr>
          <w:rStyle w:val="CarCar"/>
          <w:rFonts w:ascii="Times New Roman" w:hAnsi="Times New Roman" w:cs="Times New Roman"/>
          <w:b w:val="0"/>
          <w:bCs w:val="0"/>
          <w:i/>
          <w:sz w:val="24"/>
        </w:rPr>
        <w:t>, Mientras que para el 202</w:t>
      </w:r>
      <w:r w:rsidR="00BB4826">
        <w:rPr>
          <w:rStyle w:val="CarCar"/>
          <w:rFonts w:ascii="Times New Roman" w:hAnsi="Times New Roman" w:cs="Times New Roman"/>
          <w:b w:val="0"/>
          <w:bCs w:val="0"/>
          <w:i/>
          <w:sz w:val="24"/>
        </w:rPr>
        <w:t>1</w:t>
      </w:r>
      <w:r w:rsidRPr="00782339">
        <w:rPr>
          <w:rStyle w:val="CarCar"/>
          <w:rFonts w:ascii="Times New Roman" w:hAnsi="Times New Roman" w:cs="Times New Roman"/>
          <w:b w:val="0"/>
          <w:bCs w:val="0"/>
          <w:i/>
          <w:sz w:val="24"/>
        </w:rPr>
        <w:t xml:space="preserve"> presenta un balance de RD$</w:t>
      </w:r>
      <w:r w:rsidR="00145E6E">
        <w:rPr>
          <w:rStyle w:val="CarCar"/>
          <w:rFonts w:ascii="Times New Roman" w:hAnsi="Times New Roman" w:cs="Times New Roman"/>
          <w:b w:val="0"/>
          <w:bCs w:val="0"/>
          <w:i/>
          <w:sz w:val="24"/>
        </w:rPr>
        <w:t>6,300,524.29</w:t>
      </w:r>
      <w:r w:rsidRPr="00782339">
        <w:rPr>
          <w:rStyle w:val="CarCar"/>
          <w:rFonts w:ascii="Times New Roman" w:hAnsi="Times New Roman" w:cs="Times New Roman"/>
          <w:b w:val="0"/>
          <w:bCs w:val="0"/>
          <w:i/>
          <w:sz w:val="24"/>
        </w:rPr>
        <w:t>, respectivamente reflejándose un</w:t>
      </w:r>
      <w:r w:rsidR="00AD50DB">
        <w:rPr>
          <w:rStyle w:val="CarCar"/>
          <w:rFonts w:ascii="Times New Roman" w:hAnsi="Times New Roman" w:cs="Times New Roman"/>
          <w:b w:val="0"/>
          <w:bCs w:val="0"/>
          <w:i/>
          <w:sz w:val="24"/>
        </w:rPr>
        <w:t>a</w:t>
      </w:r>
      <w:r w:rsidRPr="00782339">
        <w:rPr>
          <w:rStyle w:val="CarCar"/>
          <w:rFonts w:ascii="Times New Roman" w:hAnsi="Times New Roman" w:cs="Times New Roman"/>
          <w:b w:val="0"/>
          <w:bCs w:val="0"/>
          <w:i/>
          <w:sz w:val="24"/>
        </w:rPr>
        <w:t xml:space="preserve"> </w:t>
      </w:r>
      <w:r w:rsidR="00AD50DB">
        <w:rPr>
          <w:rStyle w:val="CarCar"/>
          <w:rFonts w:ascii="Times New Roman" w:hAnsi="Times New Roman" w:cs="Times New Roman"/>
          <w:b w:val="0"/>
          <w:bCs w:val="0"/>
          <w:i/>
          <w:sz w:val="24"/>
        </w:rPr>
        <w:t>disminución de RD$</w:t>
      </w:r>
      <w:r w:rsidR="00214540">
        <w:rPr>
          <w:rStyle w:val="CarCar"/>
          <w:rFonts w:ascii="Times New Roman" w:hAnsi="Times New Roman" w:cs="Times New Roman"/>
          <w:b w:val="0"/>
          <w:bCs w:val="0"/>
          <w:i/>
          <w:sz w:val="24"/>
        </w:rPr>
        <w:t>3,200,409.43 equivalente a</w:t>
      </w:r>
      <w:r w:rsidRPr="00782339">
        <w:rPr>
          <w:rStyle w:val="CarCar"/>
          <w:rFonts w:ascii="Times New Roman" w:hAnsi="Times New Roman" w:cs="Times New Roman"/>
          <w:b w:val="0"/>
          <w:bCs w:val="0"/>
          <w:i/>
          <w:sz w:val="24"/>
        </w:rPr>
        <w:t xml:space="preserve"> un </w:t>
      </w:r>
      <w:r w:rsidR="00B4127D">
        <w:rPr>
          <w:rStyle w:val="CarCar"/>
          <w:rFonts w:ascii="Times New Roman" w:hAnsi="Times New Roman" w:cs="Times New Roman"/>
          <w:b w:val="0"/>
          <w:bCs w:val="0"/>
          <w:i/>
          <w:sz w:val="24"/>
        </w:rPr>
        <w:t>51</w:t>
      </w:r>
      <w:r w:rsidRPr="00782339">
        <w:rPr>
          <w:rStyle w:val="CarCar"/>
          <w:rFonts w:ascii="Times New Roman" w:hAnsi="Times New Roman" w:cs="Times New Roman"/>
          <w:b w:val="0"/>
          <w:bCs w:val="0"/>
          <w:i/>
          <w:sz w:val="24"/>
        </w:rPr>
        <w:t>%, según el siguiente detalle:</w:t>
      </w:r>
    </w:p>
    <w:p w14:paraId="32E76120" w14:textId="77777777" w:rsidR="007A10AF" w:rsidRDefault="007A10AF" w:rsidP="007949F7">
      <w:pPr>
        <w:spacing w:line="360" w:lineRule="auto"/>
        <w:jc w:val="both"/>
        <w:rPr>
          <w:b/>
          <w:i/>
        </w:rPr>
      </w:pPr>
    </w:p>
    <w:p w14:paraId="38BBE573" w14:textId="77777777" w:rsidR="0050059E" w:rsidRDefault="0050059E" w:rsidP="007949F7">
      <w:pPr>
        <w:spacing w:line="360" w:lineRule="auto"/>
        <w:jc w:val="both"/>
        <w:rPr>
          <w:b/>
          <w:i/>
        </w:rPr>
      </w:pPr>
    </w:p>
    <w:p w14:paraId="32E76122" w14:textId="248FD3B4" w:rsidR="00CF7BA4" w:rsidRPr="008613B5" w:rsidRDefault="00CF7BA4" w:rsidP="007949F7">
      <w:pPr>
        <w:spacing w:line="360" w:lineRule="auto"/>
        <w:jc w:val="both"/>
        <w:rPr>
          <w:b/>
          <w:i/>
        </w:rPr>
      </w:pPr>
      <w:r w:rsidRPr="008613B5">
        <w:rPr>
          <w:b/>
          <w:i/>
        </w:rPr>
        <w:t>PARTIDAS</w:t>
      </w:r>
      <w:r w:rsidRPr="008613B5">
        <w:rPr>
          <w:i/>
        </w:rPr>
        <w:tab/>
      </w:r>
      <w:r w:rsidRPr="008613B5">
        <w:rPr>
          <w:i/>
        </w:rPr>
        <w:tab/>
      </w:r>
      <w:r w:rsidRPr="008613B5">
        <w:rPr>
          <w:i/>
        </w:rPr>
        <w:tab/>
      </w:r>
      <w:r w:rsidRPr="008613B5">
        <w:rPr>
          <w:i/>
        </w:rPr>
        <w:tab/>
      </w:r>
      <w:r w:rsidRPr="008613B5">
        <w:rPr>
          <w:i/>
        </w:rPr>
        <w:tab/>
      </w:r>
      <w:r w:rsidRPr="008613B5">
        <w:rPr>
          <w:i/>
        </w:rPr>
        <w:tab/>
        <w:t xml:space="preserve">                 </w:t>
      </w:r>
      <w:r w:rsidR="001F7844">
        <w:rPr>
          <w:b/>
          <w:i/>
        </w:rPr>
        <w:t>2022</w:t>
      </w:r>
      <w:r w:rsidR="001F7844">
        <w:rPr>
          <w:b/>
          <w:i/>
        </w:rPr>
        <w:tab/>
      </w:r>
      <w:r w:rsidR="001F7844">
        <w:rPr>
          <w:b/>
          <w:i/>
        </w:rPr>
        <w:tab/>
        <w:t xml:space="preserve">    2021</w:t>
      </w:r>
    </w:p>
    <w:tbl>
      <w:tblPr>
        <w:tblW w:w="10363" w:type="dxa"/>
        <w:tblInd w:w="55" w:type="dxa"/>
        <w:tblCellMar>
          <w:left w:w="70" w:type="dxa"/>
          <w:right w:w="70" w:type="dxa"/>
        </w:tblCellMar>
        <w:tblLook w:val="04A0" w:firstRow="1" w:lastRow="0" w:firstColumn="1" w:lastColumn="0" w:noHBand="0" w:noVBand="1"/>
      </w:tblPr>
      <w:tblGrid>
        <w:gridCol w:w="5480"/>
        <w:gridCol w:w="1481"/>
        <w:gridCol w:w="1701"/>
        <w:gridCol w:w="1701"/>
      </w:tblGrid>
      <w:tr w:rsidR="00F33EF4" w14:paraId="32E76126" w14:textId="77777777" w:rsidTr="00F33EF4">
        <w:trPr>
          <w:trHeight w:val="282"/>
        </w:trPr>
        <w:tc>
          <w:tcPr>
            <w:tcW w:w="5480" w:type="dxa"/>
            <w:tcBorders>
              <w:top w:val="nil"/>
              <w:left w:val="nil"/>
              <w:bottom w:val="nil"/>
              <w:right w:val="nil"/>
            </w:tcBorders>
            <w:shd w:val="clear" w:color="auto" w:fill="auto"/>
            <w:noWrap/>
            <w:hideMark/>
          </w:tcPr>
          <w:p w14:paraId="32E76123" w14:textId="77777777" w:rsidR="00F33EF4" w:rsidRDefault="00F33EF4" w:rsidP="007949F7">
            <w:pPr>
              <w:spacing w:line="360" w:lineRule="auto"/>
              <w:rPr>
                <w:i/>
                <w:iCs/>
                <w:color w:val="000000"/>
              </w:rPr>
            </w:pPr>
            <w:r>
              <w:rPr>
                <w:i/>
                <w:iCs/>
                <w:color w:val="000000"/>
              </w:rPr>
              <w:t xml:space="preserve">Transferencias </w:t>
            </w:r>
            <w:proofErr w:type="spellStart"/>
            <w:r>
              <w:rPr>
                <w:i/>
                <w:iCs/>
                <w:color w:val="000000"/>
              </w:rPr>
              <w:t>Corri</w:t>
            </w:r>
            <w:proofErr w:type="spellEnd"/>
            <w:r>
              <w:rPr>
                <w:i/>
                <w:iCs/>
                <w:color w:val="000000"/>
              </w:rPr>
              <w:t xml:space="preserve">. a </w:t>
            </w:r>
            <w:proofErr w:type="spellStart"/>
            <w:r>
              <w:rPr>
                <w:i/>
                <w:iCs/>
                <w:color w:val="000000"/>
              </w:rPr>
              <w:t>Insit</w:t>
            </w:r>
            <w:proofErr w:type="spellEnd"/>
            <w:r>
              <w:rPr>
                <w:i/>
                <w:iCs/>
                <w:color w:val="000000"/>
              </w:rPr>
              <w:t>. sin Fines de Lucro</w:t>
            </w:r>
          </w:p>
        </w:tc>
        <w:tc>
          <w:tcPr>
            <w:tcW w:w="1481" w:type="dxa"/>
            <w:tcBorders>
              <w:top w:val="nil"/>
              <w:left w:val="nil"/>
              <w:bottom w:val="nil"/>
              <w:right w:val="nil"/>
            </w:tcBorders>
            <w:shd w:val="clear" w:color="auto" w:fill="auto"/>
            <w:noWrap/>
            <w:hideMark/>
          </w:tcPr>
          <w:p w14:paraId="32E76124" w14:textId="47AC4973" w:rsidR="00F33EF4" w:rsidRDefault="00F33EF4" w:rsidP="007949F7">
            <w:pPr>
              <w:spacing w:line="360" w:lineRule="auto"/>
              <w:jc w:val="right"/>
              <w:rPr>
                <w:i/>
                <w:iCs/>
                <w:color w:val="000000"/>
              </w:rPr>
            </w:pPr>
            <w:r>
              <w:rPr>
                <w:i/>
                <w:iCs/>
                <w:color w:val="000000"/>
              </w:rPr>
              <w:t>0</w:t>
            </w:r>
            <w:r w:rsidRPr="00EA4C67">
              <w:rPr>
                <w:i/>
                <w:iCs/>
                <w:color w:val="000000"/>
              </w:rPr>
              <w:t>.00</w:t>
            </w:r>
          </w:p>
        </w:tc>
        <w:tc>
          <w:tcPr>
            <w:tcW w:w="1701" w:type="dxa"/>
            <w:tcBorders>
              <w:top w:val="nil"/>
              <w:left w:val="nil"/>
              <w:bottom w:val="nil"/>
              <w:right w:val="nil"/>
            </w:tcBorders>
          </w:tcPr>
          <w:p w14:paraId="3420F2AF" w14:textId="56AFFBB9" w:rsidR="00F33EF4" w:rsidRDefault="00F33EF4" w:rsidP="007949F7">
            <w:pPr>
              <w:spacing w:line="360" w:lineRule="auto"/>
              <w:jc w:val="right"/>
              <w:rPr>
                <w:i/>
                <w:iCs/>
                <w:color w:val="000000"/>
              </w:rPr>
            </w:pPr>
            <w:r>
              <w:rPr>
                <w:i/>
                <w:iCs/>
                <w:color w:val="000000"/>
              </w:rPr>
              <w:t>275,000.00</w:t>
            </w:r>
          </w:p>
        </w:tc>
        <w:tc>
          <w:tcPr>
            <w:tcW w:w="1701" w:type="dxa"/>
            <w:tcBorders>
              <w:top w:val="nil"/>
              <w:left w:val="nil"/>
              <w:bottom w:val="nil"/>
              <w:right w:val="nil"/>
            </w:tcBorders>
            <w:shd w:val="clear" w:color="auto" w:fill="auto"/>
            <w:noWrap/>
            <w:vAlign w:val="center"/>
          </w:tcPr>
          <w:p w14:paraId="32E76125" w14:textId="43818CA0" w:rsidR="00F33EF4" w:rsidRDefault="00F33EF4" w:rsidP="007949F7">
            <w:pPr>
              <w:spacing w:line="360" w:lineRule="auto"/>
              <w:jc w:val="right"/>
              <w:rPr>
                <w:i/>
                <w:iCs/>
                <w:color w:val="000000"/>
              </w:rPr>
            </w:pPr>
          </w:p>
        </w:tc>
      </w:tr>
      <w:tr w:rsidR="00F33EF4" w14:paraId="32E7612A" w14:textId="77777777" w:rsidTr="00F33EF4">
        <w:trPr>
          <w:trHeight w:val="282"/>
        </w:trPr>
        <w:tc>
          <w:tcPr>
            <w:tcW w:w="5480" w:type="dxa"/>
            <w:tcBorders>
              <w:top w:val="nil"/>
              <w:left w:val="nil"/>
              <w:bottom w:val="nil"/>
              <w:right w:val="nil"/>
            </w:tcBorders>
            <w:shd w:val="clear" w:color="auto" w:fill="auto"/>
            <w:noWrap/>
            <w:hideMark/>
          </w:tcPr>
          <w:p w14:paraId="32E76127" w14:textId="77777777" w:rsidR="00F33EF4" w:rsidRDefault="00F33EF4" w:rsidP="007949F7">
            <w:pPr>
              <w:spacing w:line="360" w:lineRule="auto"/>
              <w:rPr>
                <w:i/>
                <w:iCs/>
                <w:color w:val="000000"/>
              </w:rPr>
            </w:pPr>
            <w:r>
              <w:rPr>
                <w:i/>
                <w:iCs/>
                <w:color w:val="000000"/>
              </w:rPr>
              <w:t>Ayudas y Donaciones Ocasionales Hogares y Personas</w:t>
            </w:r>
          </w:p>
        </w:tc>
        <w:tc>
          <w:tcPr>
            <w:tcW w:w="1481" w:type="dxa"/>
            <w:tcBorders>
              <w:top w:val="nil"/>
              <w:left w:val="nil"/>
              <w:bottom w:val="nil"/>
              <w:right w:val="nil"/>
            </w:tcBorders>
            <w:shd w:val="clear" w:color="auto" w:fill="auto"/>
            <w:noWrap/>
            <w:hideMark/>
          </w:tcPr>
          <w:p w14:paraId="32E76128" w14:textId="1A8B5CFD" w:rsidR="00F33EF4" w:rsidRDefault="00C7065A" w:rsidP="007949F7">
            <w:pPr>
              <w:spacing w:line="360" w:lineRule="auto"/>
              <w:jc w:val="right"/>
              <w:rPr>
                <w:i/>
                <w:iCs/>
                <w:color w:val="000000"/>
              </w:rPr>
            </w:pPr>
            <w:r>
              <w:rPr>
                <w:i/>
                <w:iCs/>
                <w:color w:val="000000"/>
              </w:rPr>
              <w:t>0</w:t>
            </w:r>
            <w:r w:rsidRPr="00EA4C67">
              <w:rPr>
                <w:i/>
                <w:iCs/>
                <w:color w:val="000000"/>
              </w:rPr>
              <w:t>.00</w:t>
            </w:r>
          </w:p>
        </w:tc>
        <w:tc>
          <w:tcPr>
            <w:tcW w:w="1701" w:type="dxa"/>
            <w:tcBorders>
              <w:top w:val="nil"/>
              <w:left w:val="nil"/>
              <w:bottom w:val="nil"/>
              <w:right w:val="nil"/>
            </w:tcBorders>
          </w:tcPr>
          <w:p w14:paraId="0FFE5042" w14:textId="3858C87E" w:rsidR="00F33EF4" w:rsidRDefault="00F33EF4" w:rsidP="007949F7">
            <w:pPr>
              <w:spacing w:line="360" w:lineRule="auto"/>
              <w:jc w:val="right"/>
              <w:rPr>
                <w:i/>
                <w:iCs/>
                <w:color w:val="000000"/>
              </w:rPr>
            </w:pPr>
            <w:r>
              <w:rPr>
                <w:i/>
                <w:iCs/>
                <w:color w:val="000000"/>
              </w:rPr>
              <w:t>1,500.00</w:t>
            </w:r>
          </w:p>
        </w:tc>
        <w:tc>
          <w:tcPr>
            <w:tcW w:w="1701" w:type="dxa"/>
            <w:tcBorders>
              <w:top w:val="nil"/>
              <w:left w:val="nil"/>
              <w:bottom w:val="nil"/>
              <w:right w:val="nil"/>
            </w:tcBorders>
            <w:shd w:val="clear" w:color="auto" w:fill="auto"/>
            <w:noWrap/>
            <w:vAlign w:val="center"/>
          </w:tcPr>
          <w:p w14:paraId="32E76129" w14:textId="5BFCBE0D" w:rsidR="00F33EF4" w:rsidRDefault="00F33EF4" w:rsidP="007949F7">
            <w:pPr>
              <w:spacing w:line="360" w:lineRule="auto"/>
              <w:jc w:val="right"/>
              <w:rPr>
                <w:i/>
                <w:iCs/>
                <w:color w:val="000000"/>
              </w:rPr>
            </w:pPr>
          </w:p>
        </w:tc>
      </w:tr>
      <w:tr w:rsidR="00F33EF4" w14:paraId="32E7612E" w14:textId="77777777" w:rsidTr="00F33EF4">
        <w:trPr>
          <w:trHeight w:val="282"/>
        </w:trPr>
        <w:tc>
          <w:tcPr>
            <w:tcW w:w="5480" w:type="dxa"/>
            <w:tcBorders>
              <w:top w:val="nil"/>
              <w:left w:val="nil"/>
              <w:bottom w:val="nil"/>
              <w:right w:val="nil"/>
            </w:tcBorders>
            <w:shd w:val="clear" w:color="auto" w:fill="auto"/>
            <w:noWrap/>
            <w:hideMark/>
          </w:tcPr>
          <w:p w14:paraId="32E7612B" w14:textId="77777777" w:rsidR="00F33EF4" w:rsidRDefault="00F33EF4" w:rsidP="007949F7">
            <w:pPr>
              <w:spacing w:line="360" w:lineRule="auto"/>
              <w:rPr>
                <w:i/>
                <w:iCs/>
                <w:color w:val="000000"/>
              </w:rPr>
            </w:pPr>
            <w:r>
              <w:rPr>
                <w:i/>
                <w:iCs/>
                <w:color w:val="000000"/>
              </w:rPr>
              <w:t xml:space="preserve">Transferencias </w:t>
            </w:r>
            <w:proofErr w:type="spellStart"/>
            <w:r>
              <w:rPr>
                <w:i/>
                <w:iCs/>
                <w:color w:val="000000"/>
              </w:rPr>
              <w:t>Ctes</w:t>
            </w:r>
            <w:proofErr w:type="spellEnd"/>
            <w:r>
              <w:rPr>
                <w:i/>
                <w:iCs/>
                <w:color w:val="000000"/>
              </w:rPr>
              <w:t>. a Organismos Internacionales</w:t>
            </w:r>
          </w:p>
        </w:tc>
        <w:tc>
          <w:tcPr>
            <w:tcW w:w="1481" w:type="dxa"/>
            <w:tcBorders>
              <w:top w:val="nil"/>
              <w:left w:val="nil"/>
              <w:bottom w:val="nil"/>
              <w:right w:val="nil"/>
            </w:tcBorders>
            <w:shd w:val="clear" w:color="auto" w:fill="auto"/>
            <w:noWrap/>
            <w:hideMark/>
          </w:tcPr>
          <w:p w14:paraId="32E7612C" w14:textId="60CD270A" w:rsidR="00F33EF4" w:rsidRDefault="00C7065A" w:rsidP="007949F7">
            <w:pPr>
              <w:spacing w:line="360" w:lineRule="auto"/>
              <w:jc w:val="right"/>
              <w:rPr>
                <w:i/>
                <w:iCs/>
                <w:color w:val="000000"/>
              </w:rPr>
            </w:pPr>
            <w:r>
              <w:rPr>
                <w:i/>
                <w:iCs/>
                <w:color w:val="000000"/>
              </w:rPr>
              <w:t>1</w:t>
            </w:r>
            <w:r w:rsidRPr="00EA4C67">
              <w:rPr>
                <w:i/>
                <w:iCs/>
                <w:color w:val="000000"/>
              </w:rPr>
              <w:t>,508,577.00</w:t>
            </w:r>
          </w:p>
        </w:tc>
        <w:tc>
          <w:tcPr>
            <w:tcW w:w="1701" w:type="dxa"/>
            <w:tcBorders>
              <w:top w:val="nil"/>
              <w:left w:val="nil"/>
              <w:bottom w:val="nil"/>
              <w:right w:val="nil"/>
            </w:tcBorders>
          </w:tcPr>
          <w:p w14:paraId="673AA425" w14:textId="41104CE9" w:rsidR="00F33EF4" w:rsidRDefault="00F33EF4" w:rsidP="007949F7">
            <w:pPr>
              <w:spacing w:line="360" w:lineRule="auto"/>
              <w:jc w:val="right"/>
              <w:rPr>
                <w:i/>
                <w:iCs/>
                <w:color w:val="000000"/>
              </w:rPr>
            </w:pPr>
            <w:r>
              <w:rPr>
                <w:i/>
                <w:iCs/>
                <w:color w:val="000000"/>
              </w:rPr>
              <w:t>1,937,975.00</w:t>
            </w:r>
          </w:p>
        </w:tc>
        <w:tc>
          <w:tcPr>
            <w:tcW w:w="1701" w:type="dxa"/>
            <w:tcBorders>
              <w:top w:val="nil"/>
              <w:left w:val="nil"/>
              <w:bottom w:val="nil"/>
              <w:right w:val="nil"/>
            </w:tcBorders>
            <w:shd w:val="clear" w:color="auto" w:fill="auto"/>
            <w:noWrap/>
            <w:vAlign w:val="center"/>
          </w:tcPr>
          <w:p w14:paraId="32E7612D" w14:textId="0A13D018" w:rsidR="00F33EF4" w:rsidRDefault="00F33EF4" w:rsidP="007949F7">
            <w:pPr>
              <w:spacing w:line="360" w:lineRule="auto"/>
              <w:jc w:val="right"/>
              <w:rPr>
                <w:i/>
                <w:iCs/>
                <w:color w:val="000000"/>
              </w:rPr>
            </w:pPr>
          </w:p>
        </w:tc>
      </w:tr>
      <w:tr w:rsidR="00F33EF4" w14:paraId="32E76132" w14:textId="77777777" w:rsidTr="00F33EF4">
        <w:trPr>
          <w:trHeight w:val="282"/>
        </w:trPr>
        <w:tc>
          <w:tcPr>
            <w:tcW w:w="5480" w:type="dxa"/>
            <w:tcBorders>
              <w:top w:val="nil"/>
              <w:left w:val="nil"/>
              <w:bottom w:val="nil"/>
              <w:right w:val="nil"/>
            </w:tcBorders>
            <w:shd w:val="clear" w:color="auto" w:fill="auto"/>
            <w:noWrap/>
            <w:hideMark/>
          </w:tcPr>
          <w:p w14:paraId="32E7612F" w14:textId="77777777" w:rsidR="00F33EF4" w:rsidRDefault="00F33EF4" w:rsidP="007949F7">
            <w:pPr>
              <w:spacing w:line="360" w:lineRule="auto"/>
              <w:rPr>
                <w:i/>
                <w:iCs/>
                <w:color w:val="000000"/>
              </w:rPr>
            </w:pPr>
            <w:r>
              <w:rPr>
                <w:i/>
                <w:iCs/>
                <w:color w:val="000000"/>
              </w:rPr>
              <w:t>Becas Nacionales</w:t>
            </w:r>
          </w:p>
        </w:tc>
        <w:tc>
          <w:tcPr>
            <w:tcW w:w="1481" w:type="dxa"/>
            <w:tcBorders>
              <w:top w:val="nil"/>
              <w:left w:val="nil"/>
              <w:bottom w:val="nil"/>
              <w:right w:val="nil"/>
            </w:tcBorders>
            <w:shd w:val="clear" w:color="auto" w:fill="auto"/>
            <w:noWrap/>
            <w:hideMark/>
          </w:tcPr>
          <w:p w14:paraId="32E76130" w14:textId="45642458" w:rsidR="00F33EF4" w:rsidRDefault="002609AC" w:rsidP="007949F7">
            <w:pPr>
              <w:spacing w:line="360" w:lineRule="auto"/>
              <w:jc w:val="right"/>
              <w:rPr>
                <w:i/>
                <w:iCs/>
                <w:color w:val="000000"/>
              </w:rPr>
            </w:pPr>
            <w:r>
              <w:rPr>
                <w:i/>
                <w:iCs/>
                <w:color w:val="000000"/>
              </w:rPr>
              <w:t>1</w:t>
            </w:r>
            <w:r w:rsidRPr="00EA4C67">
              <w:rPr>
                <w:i/>
                <w:iCs/>
                <w:color w:val="000000"/>
              </w:rPr>
              <w:t>,050,517.50</w:t>
            </w:r>
          </w:p>
        </w:tc>
        <w:tc>
          <w:tcPr>
            <w:tcW w:w="1701" w:type="dxa"/>
            <w:tcBorders>
              <w:top w:val="nil"/>
              <w:left w:val="nil"/>
              <w:bottom w:val="nil"/>
              <w:right w:val="nil"/>
            </w:tcBorders>
          </w:tcPr>
          <w:p w14:paraId="5737DEF2" w14:textId="296356E5" w:rsidR="00F33EF4" w:rsidRDefault="00F33EF4" w:rsidP="007949F7">
            <w:pPr>
              <w:spacing w:line="360" w:lineRule="auto"/>
              <w:jc w:val="right"/>
              <w:rPr>
                <w:i/>
                <w:iCs/>
                <w:color w:val="000000"/>
              </w:rPr>
            </w:pPr>
            <w:r>
              <w:rPr>
                <w:i/>
                <w:iCs/>
                <w:color w:val="000000"/>
              </w:rPr>
              <w:t>1,074,689.29</w:t>
            </w:r>
          </w:p>
        </w:tc>
        <w:tc>
          <w:tcPr>
            <w:tcW w:w="1701" w:type="dxa"/>
            <w:tcBorders>
              <w:top w:val="nil"/>
              <w:left w:val="nil"/>
              <w:bottom w:val="nil"/>
              <w:right w:val="nil"/>
            </w:tcBorders>
            <w:shd w:val="clear" w:color="auto" w:fill="auto"/>
            <w:noWrap/>
            <w:vAlign w:val="center"/>
          </w:tcPr>
          <w:p w14:paraId="32E76131" w14:textId="3522D441" w:rsidR="00F33EF4" w:rsidRDefault="00F33EF4" w:rsidP="007949F7">
            <w:pPr>
              <w:spacing w:line="360" w:lineRule="auto"/>
              <w:jc w:val="right"/>
              <w:rPr>
                <w:i/>
                <w:iCs/>
                <w:color w:val="000000"/>
              </w:rPr>
            </w:pPr>
          </w:p>
        </w:tc>
      </w:tr>
      <w:tr w:rsidR="00F33EF4" w14:paraId="32E76136" w14:textId="77777777" w:rsidTr="00F33EF4">
        <w:trPr>
          <w:trHeight w:val="282"/>
        </w:trPr>
        <w:tc>
          <w:tcPr>
            <w:tcW w:w="5480" w:type="dxa"/>
            <w:tcBorders>
              <w:top w:val="nil"/>
              <w:left w:val="nil"/>
              <w:bottom w:val="nil"/>
              <w:right w:val="nil"/>
            </w:tcBorders>
            <w:shd w:val="clear" w:color="auto" w:fill="auto"/>
            <w:noWrap/>
            <w:hideMark/>
          </w:tcPr>
          <w:p w14:paraId="32E76133" w14:textId="77777777" w:rsidR="00F33EF4" w:rsidRDefault="00F33EF4" w:rsidP="007949F7">
            <w:pPr>
              <w:spacing w:line="360" w:lineRule="auto"/>
              <w:rPr>
                <w:i/>
                <w:iCs/>
                <w:color w:val="000000"/>
              </w:rPr>
            </w:pPr>
            <w:r>
              <w:rPr>
                <w:i/>
                <w:iCs/>
                <w:color w:val="000000"/>
              </w:rPr>
              <w:t>Becas Internacionales</w:t>
            </w:r>
          </w:p>
        </w:tc>
        <w:tc>
          <w:tcPr>
            <w:tcW w:w="1481" w:type="dxa"/>
            <w:tcBorders>
              <w:top w:val="nil"/>
              <w:left w:val="nil"/>
              <w:bottom w:val="nil"/>
              <w:right w:val="nil"/>
            </w:tcBorders>
            <w:shd w:val="clear" w:color="auto" w:fill="auto"/>
            <w:noWrap/>
            <w:hideMark/>
          </w:tcPr>
          <w:p w14:paraId="32E76134" w14:textId="4A2D5E2E" w:rsidR="00F33EF4" w:rsidRDefault="002609AC" w:rsidP="007949F7">
            <w:pPr>
              <w:spacing w:line="360" w:lineRule="auto"/>
              <w:jc w:val="right"/>
              <w:rPr>
                <w:i/>
                <w:iCs/>
                <w:color w:val="000000"/>
              </w:rPr>
            </w:pPr>
            <w:r>
              <w:rPr>
                <w:i/>
                <w:iCs/>
                <w:color w:val="000000"/>
              </w:rPr>
              <w:t>5</w:t>
            </w:r>
            <w:r w:rsidRPr="00EA4C67">
              <w:rPr>
                <w:i/>
                <w:iCs/>
                <w:color w:val="000000"/>
              </w:rPr>
              <w:t>41,020.36</w:t>
            </w:r>
          </w:p>
        </w:tc>
        <w:tc>
          <w:tcPr>
            <w:tcW w:w="1701" w:type="dxa"/>
            <w:tcBorders>
              <w:top w:val="nil"/>
              <w:left w:val="nil"/>
              <w:bottom w:val="nil"/>
              <w:right w:val="nil"/>
            </w:tcBorders>
          </w:tcPr>
          <w:p w14:paraId="06C6822C" w14:textId="63095745" w:rsidR="00F33EF4" w:rsidRDefault="00F33EF4" w:rsidP="007949F7">
            <w:pPr>
              <w:spacing w:line="360" w:lineRule="auto"/>
              <w:jc w:val="right"/>
              <w:rPr>
                <w:i/>
                <w:iCs/>
                <w:color w:val="000000"/>
              </w:rPr>
            </w:pPr>
            <w:r>
              <w:rPr>
                <w:i/>
                <w:iCs/>
                <w:color w:val="000000"/>
              </w:rPr>
              <w:t>211,360.00</w:t>
            </w:r>
          </w:p>
        </w:tc>
        <w:tc>
          <w:tcPr>
            <w:tcW w:w="1701" w:type="dxa"/>
            <w:tcBorders>
              <w:top w:val="nil"/>
              <w:left w:val="nil"/>
              <w:bottom w:val="nil"/>
              <w:right w:val="nil"/>
            </w:tcBorders>
            <w:shd w:val="clear" w:color="auto" w:fill="auto"/>
            <w:noWrap/>
            <w:vAlign w:val="center"/>
          </w:tcPr>
          <w:p w14:paraId="32E76135" w14:textId="1435898C" w:rsidR="00F33EF4" w:rsidRDefault="00F33EF4" w:rsidP="007949F7">
            <w:pPr>
              <w:spacing w:line="360" w:lineRule="auto"/>
              <w:jc w:val="right"/>
              <w:rPr>
                <w:i/>
                <w:iCs/>
                <w:color w:val="000000"/>
              </w:rPr>
            </w:pPr>
          </w:p>
        </w:tc>
      </w:tr>
      <w:tr w:rsidR="00F33EF4" w14:paraId="32E7613A" w14:textId="77777777" w:rsidTr="00F33EF4">
        <w:trPr>
          <w:trHeight w:val="282"/>
        </w:trPr>
        <w:tc>
          <w:tcPr>
            <w:tcW w:w="5480" w:type="dxa"/>
            <w:tcBorders>
              <w:top w:val="nil"/>
              <w:left w:val="nil"/>
              <w:bottom w:val="nil"/>
              <w:right w:val="nil"/>
            </w:tcBorders>
            <w:shd w:val="clear" w:color="auto" w:fill="auto"/>
            <w:noWrap/>
            <w:hideMark/>
          </w:tcPr>
          <w:p w14:paraId="32E76137" w14:textId="77777777" w:rsidR="00F33EF4" w:rsidRDefault="00F33EF4" w:rsidP="007949F7">
            <w:pPr>
              <w:spacing w:line="360" w:lineRule="auto"/>
              <w:rPr>
                <w:i/>
                <w:iCs/>
                <w:color w:val="000000"/>
              </w:rPr>
            </w:pPr>
            <w:r>
              <w:rPr>
                <w:i/>
                <w:iCs/>
                <w:color w:val="000000"/>
              </w:rPr>
              <w:t xml:space="preserve">Otras </w:t>
            </w:r>
            <w:proofErr w:type="spellStart"/>
            <w:r>
              <w:rPr>
                <w:i/>
                <w:iCs/>
                <w:color w:val="000000"/>
              </w:rPr>
              <w:t>Transf</w:t>
            </w:r>
            <w:proofErr w:type="spellEnd"/>
            <w:r>
              <w:rPr>
                <w:i/>
                <w:iCs/>
                <w:color w:val="000000"/>
              </w:rPr>
              <w:t xml:space="preserve">. </w:t>
            </w:r>
            <w:proofErr w:type="spellStart"/>
            <w:r>
              <w:rPr>
                <w:i/>
                <w:iCs/>
                <w:color w:val="000000"/>
              </w:rPr>
              <w:t>Ctes</w:t>
            </w:r>
            <w:proofErr w:type="spellEnd"/>
            <w:r>
              <w:rPr>
                <w:i/>
                <w:iCs/>
                <w:color w:val="000000"/>
              </w:rPr>
              <w:t>. a Inst. de la Seguridad Social</w:t>
            </w:r>
          </w:p>
        </w:tc>
        <w:tc>
          <w:tcPr>
            <w:tcW w:w="1481" w:type="dxa"/>
            <w:tcBorders>
              <w:top w:val="nil"/>
              <w:left w:val="nil"/>
              <w:bottom w:val="nil"/>
              <w:right w:val="nil"/>
            </w:tcBorders>
            <w:shd w:val="clear" w:color="auto" w:fill="auto"/>
            <w:noWrap/>
            <w:hideMark/>
          </w:tcPr>
          <w:p w14:paraId="32E76138" w14:textId="37CA9A24" w:rsidR="00F33EF4" w:rsidRPr="00EA4C67" w:rsidRDefault="00EA4C67" w:rsidP="007949F7">
            <w:pPr>
              <w:spacing w:line="360" w:lineRule="auto"/>
              <w:jc w:val="right"/>
              <w:rPr>
                <w:i/>
                <w:iCs/>
                <w:color w:val="000000"/>
                <w:u w:val="single"/>
              </w:rPr>
            </w:pPr>
            <w:r w:rsidRPr="00EA4C67">
              <w:rPr>
                <w:i/>
                <w:iCs/>
                <w:color w:val="000000"/>
                <w:u w:val="single"/>
              </w:rPr>
              <w:t xml:space="preserve">               </w:t>
            </w:r>
            <w:r w:rsidR="002609AC" w:rsidRPr="00EA4C67">
              <w:rPr>
                <w:i/>
                <w:iCs/>
                <w:color w:val="000000"/>
                <w:u w:val="single"/>
              </w:rPr>
              <w:t>0.00</w:t>
            </w:r>
          </w:p>
        </w:tc>
        <w:tc>
          <w:tcPr>
            <w:tcW w:w="1701" w:type="dxa"/>
            <w:tcBorders>
              <w:top w:val="nil"/>
              <w:left w:val="nil"/>
              <w:bottom w:val="nil"/>
              <w:right w:val="nil"/>
            </w:tcBorders>
          </w:tcPr>
          <w:p w14:paraId="0752B2A2" w14:textId="7865E83A" w:rsidR="00F33EF4" w:rsidRDefault="00F33EF4" w:rsidP="007949F7">
            <w:pPr>
              <w:spacing w:line="360" w:lineRule="auto"/>
              <w:jc w:val="right"/>
              <w:rPr>
                <w:i/>
                <w:iCs/>
                <w:color w:val="000000"/>
                <w:u w:val="single"/>
              </w:rPr>
            </w:pPr>
            <w:r>
              <w:rPr>
                <w:i/>
                <w:iCs/>
                <w:color w:val="000000"/>
                <w:u w:val="single"/>
              </w:rPr>
              <w:t>2,800,000.00</w:t>
            </w:r>
          </w:p>
        </w:tc>
        <w:tc>
          <w:tcPr>
            <w:tcW w:w="1701" w:type="dxa"/>
            <w:tcBorders>
              <w:top w:val="nil"/>
              <w:left w:val="nil"/>
              <w:bottom w:val="nil"/>
              <w:right w:val="nil"/>
            </w:tcBorders>
            <w:shd w:val="clear" w:color="auto" w:fill="auto"/>
            <w:noWrap/>
            <w:vAlign w:val="center"/>
          </w:tcPr>
          <w:p w14:paraId="32E76139" w14:textId="64EA81B8" w:rsidR="00F33EF4" w:rsidRDefault="00F33EF4" w:rsidP="007949F7">
            <w:pPr>
              <w:spacing w:line="360" w:lineRule="auto"/>
              <w:jc w:val="right"/>
              <w:rPr>
                <w:i/>
                <w:iCs/>
                <w:color w:val="000000"/>
                <w:u w:val="single"/>
              </w:rPr>
            </w:pPr>
          </w:p>
        </w:tc>
      </w:tr>
      <w:tr w:rsidR="00F33EF4" w14:paraId="32E7613E" w14:textId="77777777" w:rsidTr="00F33EF4">
        <w:trPr>
          <w:trHeight w:val="282"/>
        </w:trPr>
        <w:tc>
          <w:tcPr>
            <w:tcW w:w="5480" w:type="dxa"/>
            <w:tcBorders>
              <w:top w:val="nil"/>
              <w:left w:val="nil"/>
              <w:bottom w:val="nil"/>
              <w:right w:val="nil"/>
            </w:tcBorders>
            <w:shd w:val="clear" w:color="auto" w:fill="auto"/>
            <w:noWrap/>
            <w:vAlign w:val="center"/>
            <w:hideMark/>
          </w:tcPr>
          <w:p w14:paraId="32E7613B" w14:textId="77777777" w:rsidR="00F33EF4" w:rsidRDefault="00F33EF4" w:rsidP="007949F7">
            <w:pPr>
              <w:spacing w:line="360" w:lineRule="auto"/>
              <w:rPr>
                <w:b/>
                <w:bCs/>
                <w:i/>
                <w:iCs/>
                <w:color w:val="000000"/>
              </w:rPr>
            </w:pPr>
            <w:proofErr w:type="gramStart"/>
            <w:r>
              <w:rPr>
                <w:b/>
                <w:bCs/>
                <w:i/>
                <w:iCs/>
                <w:color w:val="000000"/>
              </w:rPr>
              <w:t>Total</w:t>
            </w:r>
            <w:proofErr w:type="gramEnd"/>
            <w:r>
              <w:rPr>
                <w:b/>
                <w:bCs/>
                <w:i/>
                <w:iCs/>
                <w:color w:val="000000"/>
              </w:rPr>
              <w:t xml:space="preserve"> Transferencias Corrientes</w:t>
            </w:r>
          </w:p>
        </w:tc>
        <w:tc>
          <w:tcPr>
            <w:tcW w:w="1481" w:type="dxa"/>
            <w:tcBorders>
              <w:top w:val="nil"/>
              <w:left w:val="nil"/>
              <w:bottom w:val="nil"/>
              <w:right w:val="nil"/>
            </w:tcBorders>
            <w:shd w:val="clear" w:color="auto" w:fill="auto"/>
            <w:noWrap/>
            <w:hideMark/>
          </w:tcPr>
          <w:p w14:paraId="32E7613C" w14:textId="22850D21" w:rsidR="00F33EF4" w:rsidRPr="00EA4C67" w:rsidRDefault="00EA4C67" w:rsidP="007949F7">
            <w:pPr>
              <w:spacing w:line="360" w:lineRule="auto"/>
              <w:jc w:val="right"/>
              <w:rPr>
                <w:b/>
                <w:bCs/>
                <w:i/>
                <w:iCs/>
                <w:color w:val="000000"/>
                <w:u w:val="double"/>
              </w:rPr>
            </w:pPr>
            <w:r w:rsidRPr="00EA4C67">
              <w:rPr>
                <w:b/>
                <w:bCs/>
                <w:i/>
                <w:iCs/>
                <w:color w:val="000000"/>
                <w:u w:val="double"/>
              </w:rPr>
              <w:t>3,100,114.86</w:t>
            </w:r>
          </w:p>
        </w:tc>
        <w:tc>
          <w:tcPr>
            <w:tcW w:w="1701" w:type="dxa"/>
            <w:tcBorders>
              <w:top w:val="nil"/>
              <w:left w:val="nil"/>
              <w:bottom w:val="nil"/>
              <w:right w:val="nil"/>
            </w:tcBorders>
          </w:tcPr>
          <w:p w14:paraId="4836FDC6" w14:textId="788AE411" w:rsidR="00F33EF4" w:rsidRDefault="00F33EF4" w:rsidP="007949F7">
            <w:pPr>
              <w:spacing w:line="360" w:lineRule="auto"/>
              <w:jc w:val="right"/>
              <w:rPr>
                <w:b/>
                <w:bCs/>
                <w:i/>
                <w:iCs/>
                <w:color w:val="000000"/>
                <w:u w:val="double"/>
              </w:rPr>
            </w:pPr>
            <w:r>
              <w:rPr>
                <w:b/>
                <w:bCs/>
                <w:i/>
                <w:iCs/>
                <w:color w:val="000000"/>
                <w:u w:val="double"/>
              </w:rPr>
              <w:t>6,300,524.29</w:t>
            </w:r>
          </w:p>
        </w:tc>
        <w:tc>
          <w:tcPr>
            <w:tcW w:w="1701" w:type="dxa"/>
            <w:tcBorders>
              <w:top w:val="nil"/>
              <w:left w:val="nil"/>
              <w:bottom w:val="nil"/>
              <w:right w:val="nil"/>
            </w:tcBorders>
            <w:shd w:val="clear" w:color="auto" w:fill="auto"/>
            <w:noWrap/>
          </w:tcPr>
          <w:p w14:paraId="32E7613D" w14:textId="137F6316" w:rsidR="00F33EF4" w:rsidRDefault="00F33EF4" w:rsidP="007949F7">
            <w:pPr>
              <w:spacing w:line="360" w:lineRule="auto"/>
              <w:jc w:val="right"/>
              <w:rPr>
                <w:b/>
                <w:bCs/>
                <w:i/>
                <w:iCs/>
                <w:color w:val="000000"/>
                <w:u w:val="double"/>
              </w:rPr>
            </w:pPr>
          </w:p>
        </w:tc>
      </w:tr>
    </w:tbl>
    <w:p w14:paraId="32E7613F" w14:textId="77777777" w:rsidR="00CF7BA4" w:rsidRPr="00CF7BA4" w:rsidRDefault="00CF7BA4" w:rsidP="007949F7">
      <w:pPr>
        <w:spacing w:line="360" w:lineRule="auto"/>
        <w:jc w:val="both"/>
        <w:rPr>
          <w:b/>
          <w:i/>
          <w:sz w:val="18"/>
        </w:rPr>
      </w:pPr>
    </w:p>
    <w:p w14:paraId="32E76140" w14:textId="1F89C6B7" w:rsidR="00CF7BA4" w:rsidRPr="002E6615" w:rsidRDefault="00CF7BA4" w:rsidP="007949F7">
      <w:pPr>
        <w:spacing w:line="360" w:lineRule="auto"/>
        <w:jc w:val="both"/>
        <w:rPr>
          <w:b/>
          <w:i/>
          <w:sz w:val="28"/>
        </w:rPr>
      </w:pPr>
      <w:r w:rsidRPr="002E6615">
        <w:rPr>
          <w:b/>
          <w:i/>
          <w:sz w:val="28"/>
        </w:rPr>
        <w:t xml:space="preserve">Nota </w:t>
      </w:r>
      <w:r>
        <w:rPr>
          <w:b/>
          <w:i/>
          <w:sz w:val="28"/>
        </w:rPr>
        <w:t>2</w:t>
      </w:r>
      <w:r w:rsidR="00B334CC">
        <w:rPr>
          <w:b/>
          <w:i/>
          <w:sz w:val="28"/>
        </w:rPr>
        <w:t>1</w:t>
      </w:r>
      <w:r>
        <w:rPr>
          <w:b/>
          <w:i/>
          <w:sz w:val="28"/>
        </w:rPr>
        <w:t>:</w:t>
      </w:r>
      <w:r w:rsidRPr="002E6615">
        <w:rPr>
          <w:b/>
          <w:i/>
          <w:sz w:val="28"/>
        </w:rPr>
        <w:t xml:space="preserve"> Suministros</w:t>
      </w:r>
      <w:r w:rsidRPr="00D30F3E">
        <w:rPr>
          <w:b/>
          <w:i/>
          <w:sz w:val="28"/>
        </w:rPr>
        <w:t xml:space="preserve"> </w:t>
      </w:r>
      <w:r w:rsidRPr="002E6615">
        <w:rPr>
          <w:b/>
          <w:i/>
          <w:sz w:val="28"/>
        </w:rPr>
        <w:t xml:space="preserve">y Materiales </w:t>
      </w:r>
      <w:r>
        <w:rPr>
          <w:b/>
          <w:i/>
          <w:sz w:val="28"/>
        </w:rPr>
        <w:t>para consumo</w:t>
      </w:r>
    </w:p>
    <w:p w14:paraId="32E76141" w14:textId="4EEC54F1" w:rsidR="00CF7BA4" w:rsidRPr="00662AE7" w:rsidRDefault="00CF7BA4" w:rsidP="007949F7">
      <w:pPr>
        <w:spacing w:line="360" w:lineRule="auto"/>
        <w:jc w:val="both"/>
        <w:rPr>
          <w:i/>
          <w:sz w:val="12"/>
          <w:lang w:eastAsia="es-ES"/>
        </w:rPr>
      </w:pPr>
      <w:r w:rsidRPr="00782339">
        <w:rPr>
          <w:rStyle w:val="CarCar"/>
          <w:rFonts w:ascii="Times New Roman" w:hAnsi="Times New Roman" w:cs="Times New Roman"/>
          <w:b w:val="0"/>
          <w:bCs w:val="0"/>
          <w:i/>
          <w:sz w:val="24"/>
        </w:rPr>
        <w:t xml:space="preserve">Los gastos por concepto de compra de Materiales y Suministros incurridos durante los períodos de Diciembre </w:t>
      </w:r>
      <w:r w:rsidR="00657827" w:rsidRPr="00BD5449">
        <w:rPr>
          <w:rStyle w:val="CarCar"/>
          <w:rFonts w:ascii="Times New Roman" w:hAnsi="Times New Roman" w:cs="Times New Roman"/>
          <w:b w:val="0"/>
          <w:i/>
          <w:sz w:val="24"/>
        </w:rPr>
        <w:t>202</w:t>
      </w:r>
      <w:r w:rsidR="00657827">
        <w:rPr>
          <w:rStyle w:val="CarCar"/>
          <w:rFonts w:ascii="Times New Roman" w:hAnsi="Times New Roman" w:cs="Times New Roman"/>
          <w:b w:val="0"/>
          <w:i/>
          <w:sz w:val="24"/>
        </w:rPr>
        <w:t>2</w:t>
      </w:r>
      <w:r w:rsidR="00657827" w:rsidRPr="00BD5449">
        <w:rPr>
          <w:rStyle w:val="CarCar"/>
          <w:rFonts w:ascii="Times New Roman" w:hAnsi="Times New Roman" w:cs="Times New Roman"/>
          <w:b w:val="0"/>
          <w:i/>
          <w:sz w:val="24"/>
        </w:rPr>
        <w:t xml:space="preserve">  y  20</w:t>
      </w:r>
      <w:r w:rsidR="00657827">
        <w:rPr>
          <w:rStyle w:val="CarCar"/>
          <w:rFonts w:ascii="Times New Roman" w:hAnsi="Times New Roman" w:cs="Times New Roman"/>
          <w:b w:val="0"/>
          <w:i/>
          <w:sz w:val="24"/>
        </w:rPr>
        <w:t>21</w:t>
      </w:r>
      <w:r w:rsidRPr="00782339">
        <w:rPr>
          <w:rStyle w:val="CarCar"/>
          <w:rFonts w:ascii="Times New Roman" w:hAnsi="Times New Roman" w:cs="Times New Roman"/>
          <w:b w:val="0"/>
          <w:bCs w:val="0"/>
          <w:i/>
          <w:sz w:val="24"/>
        </w:rPr>
        <w:t xml:space="preserve"> fueron de RD$</w:t>
      </w:r>
      <w:r w:rsidR="0004347F">
        <w:rPr>
          <w:rStyle w:val="CarCar"/>
          <w:rFonts w:ascii="Times New Roman" w:hAnsi="Times New Roman" w:cs="Times New Roman"/>
          <w:b w:val="0"/>
          <w:bCs w:val="0"/>
          <w:i/>
          <w:sz w:val="24"/>
        </w:rPr>
        <w:t>8</w:t>
      </w:r>
      <w:r w:rsidR="0001295B">
        <w:rPr>
          <w:rStyle w:val="CarCar"/>
          <w:rFonts w:ascii="Times New Roman" w:hAnsi="Times New Roman" w:cs="Times New Roman"/>
          <w:b w:val="0"/>
          <w:bCs w:val="0"/>
          <w:i/>
          <w:sz w:val="24"/>
        </w:rPr>
        <w:t>,987,169.71</w:t>
      </w:r>
      <w:r w:rsidRPr="00782339">
        <w:rPr>
          <w:rStyle w:val="CarCar"/>
          <w:rFonts w:ascii="Times New Roman" w:hAnsi="Times New Roman" w:cs="Times New Roman"/>
          <w:b w:val="0"/>
          <w:bCs w:val="0"/>
          <w:i/>
          <w:sz w:val="24"/>
        </w:rPr>
        <w:t xml:space="preserve"> y RD$</w:t>
      </w:r>
      <w:r w:rsidR="0001295B">
        <w:rPr>
          <w:rStyle w:val="CarCar"/>
          <w:rFonts w:ascii="Times New Roman" w:hAnsi="Times New Roman" w:cs="Times New Roman"/>
          <w:b w:val="0"/>
          <w:bCs w:val="0"/>
          <w:i/>
          <w:sz w:val="24"/>
        </w:rPr>
        <w:t>8,016,520.15</w:t>
      </w:r>
      <w:r w:rsidRPr="00782339">
        <w:rPr>
          <w:rStyle w:val="CarCar"/>
          <w:rFonts w:ascii="Times New Roman" w:hAnsi="Times New Roman" w:cs="Times New Roman"/>
          <w:b w:val="0"/>
          <w:bCs w:val="0"/>
          <w:i/>
          <w:sz w:val="24"/>
        </w:rPr>
        <w:t xml:space="preserve"> respectivamente, representa un </w:t>
      </w:r>
      <w:r w:rsidR="0001295B">
        <w:rPr>
          <w:rStyle w:val="CarCar"/>
          <w:rFonts w:ascii="Times New Roman" w:hAnsi="Times New Roman" w:cs="Times New Roman"/>
          <w:b w:val="0"/>
          <w:bCs w:val="0"/>
          <w:i/>
          <w:sz w:val="24"/>
        </w:rPr>
        <w:t>Incremento</w:t>
      </w:r>
      <w:r w:rsidRPr="00782339">
        <w:rPr>
          <w:rStyle w:val="CarCar"/>
          <w:rFonts w:ascii="Times New Roman" w:hAnsi="Times New Roman" w:cs="Times New Roman"/>
          <w:b w:val="0"/>
          <w:bCs w:val="0"/>
          <w:i/>
          <w:sz w:val="24"/>
        </w:rPr>
        <w:t xml:space="preserve"> de RD$</w:t>
      </w:r>
      <w:r w:rsidR="0058431D">
        <w:rPr>
          <w:rStyle w:val="CarCar"/>
          <w:rFonts w:ascii="Times New Roman" w:hAnsi="Times New Roman" w:cs="Times New Roman"/>
          <w:b w:val="0"/>
          <w:bCs w:val="0"/>
          <w:i/>
          <w:sz w:val="24"/>
        </w:rPr>
        <w:t>970,649.56</w:t>
      </w:r>
      <w:r w:rsidRPr="00782339">
        <w:rPr>
          <w:rStyle w:val="CarCar"/>
          <w:rFonts w:ascii="Times New Roman" w:hAnsi="Times New Roman" w:cs="Times New Roman"/>
          <w:b w:val="0"/>
          <w:bCs w:val="0"/>
          <w:i/>
          <w:sz w:val="24"/>
        </w:rPr>
        <w:t xml:space="preserve">, </w:t>
      </w:r>
      <w:r w:rsidR="0058431D">
        <w:rPr>
          <w:rStyle w:val="CarCar"/>
          <w:rFonts w:ascii="Times New Roman" w:hAnsi="Times New Roman" w:cs="Times New Roman"/>
          <w:b w:val="0"/>
          <w:bCs w:val="0"/>
          <w:i/>
          <w:sz w:val="24"/>
        </w:rPr>
        <w:t>equiva</w:t>
      </w:r>
      <w:r w:rsidR="006546DF">
        <w:rPr>
          <w:rStyle w:val="CarCar"/>
          <w:rFonts w:ascii="Times New Roman" w:hAnsi="Times New Roman" w:cs="Times New Roman"/>
          <w:b w:val="0"/>
          <w:bCs w:val="0"/>
          <w:i/>
          <w:sz w:val="24"/>
        </w:rPr>
        <w:t>le</w:t>
      </w:r>
      <w:r w:rsidR="0058431D">
        <w:rPr>
          <w:rStyle w:val="CarCar"/>
          <w:rFonts w:ascii="Times New Roman" w:hAnsi="Times New Roman" w:cs="Times New Roman"/>
          <w:b w:val="0"/>
          <w:bCs w:val="0"/>
          <w:i/>
          <w:sz w:val="24"/>
        </w:rPr>
        <w:t>nte al</w:t>
      </w:r>
      <w:r w:rsidR="006546DF">
        <w:rPr>
          <w:rStyle w:val="CarCar"/>
          <w:rFonts w:ascii="Times New Roman" w:hAnsi="Times New Roman" w:cs="Times New Roman"/>
          <w:b w:val="0"/>
          <w:bCs w:val="0"/>
          <w:i/>
          <w:sz w:val="24"/>
        </w:rPr>
        <w:t xml:space="preserve"> 11% </w:t>
      </w:r>
      <w:r w:rsidRPr="00782339">
        <w:rPr>
          <w:rStyle w:val="CarCar"/>
          <w:rFonts w:ascii="Times New Roman" w:hAnsi="Times New Roman" w:cs="Times New Roman"/>
          <w:b w:val="0"/>
          <w:bCs w:val="0"/>
          <w:i/>
          <w:sz w:val="24"/>
        </w:rPr>
        <w:t>con relación año anterior.</w:t>
      </w:r>
    </w:p>
    <w:p w14:paraId="6ADC3C96" w14:textId="77777777" w:rsidR="00181A72" w:rsidRDefault="00181A72" w:rsidP="007949F7">
      <w:pPr>
        <w:spacing w:line="360" w:lineRule="auto"/>
        <w:rPr>
          <w:b/>
          <w:i/>
        </w:rPr>
      </w:pPr>
    </w:p>
    <w:p w14:paraId="32E76142" w14:textId="4D6D0817" w:rsidR="00CF7BA4" w:rsidRPr="00D61AE6" w:rsidRDefault="00CF7BA4" w:rsidP="007949F7">
      <w:pPr>
        <w:spacing w:line="360" w:lineRule="auto"/>
        <w:rPr>
          <w:b/>
          <w:iCs/>
        </w:rPr>
      </w:pPr>
      <w:r w:rsidRPr="00630BB6">
        <w:rPr>
          <w:b/>
          <w:i/>
        </w:rPr>
        <w:lastRenderedPageBreak/>
        <w:t>PARTIDAS</w:t>
      </w:r>
      <w:r w:rsidRPr="00630BB6">
        <w:rPr>
          <w:i/>
        </w:rPr>
        <w:tab/>
      </w:r>
      <w:r w:rsidRPr="00630BB6">
        <w:rPr>
          <w:i/>
        </w:rPr>
        <w:tab/>
      </w:r>
      <w:r w:rsidRPr="00630BB6">
        <w:rPr>
          <w:i/>
        </w:rPr>
        <w:tab/>
      </w:r>
      <w:r w:rsidRPr="00630BB6">
        <w:rPr>
          <w:i/>
        </w:rPr>
        <w:tab/>
      </w:r>
      <w:r w:rsidRPr="00630BB6">
        <w:rPr>
          <w:i/>
        </w:rPr>
        <w:tab/>
      </w:r>
      <w:r w:rsidRPr="00630BB6">
        <w:rPr>
          <w:i/>
        </w:rPr>
        <w:tab/>
      </w:r>
      <w:r w:rsidR="001F7844">
        <w:rPr>
          <w:i/>
        </w:rPr>
        <w:tab/>
      </w:r>
      <w:r w:rsidR="001F7844">
        <w:rPr>
          <w:b/>
          <w:i/>
        </w:rPr>
        <w:t>2022</w:t>
      </w:r>
      <w:r w:rsidR="001F7844">
        <w:rPr>
          <w:b/>
          <w:i/>
        </w:rPr>
        <w:tab/>
      </w:r>
      <w:r w:rsidR="001F7844">
        <w:rPr>
          <w:b/>
          <w:i/>
        </w:rPr>
        <w:tab/>
        <w:t xml:space="preserve">    2021</w:t>
      </w:r>
    </w:p>
    <w:tbl>
      <w:tblPr>
        <w:tblW w:w="9797" w:type="dxa"/>
        <w:tblInd w:w="55" w:type="dxa"/>
        <w:tblCellMar>
          <w:left w:w="70" w:type="dxa"/>
          <w:right w:w="70" w:type="dxa"/>
        </w:tblCellMar>
        <w:tblLook w:val="04A0" w:firstRow="1" w:lastRow="0" w:firstColumn="1" w:lastColumn="0" w:noHBand="0" w:noVBand="1"/>
      </w:tblPr>
      <w:tblGrid>
        <w:gridCol w:w="5480"/>
        <w:gridCol w:w="1481"/>
        <w:gridCol w:w="1418"/>
        <w:gridCol w:w="1418"/>
      </w:tblGrid>
      <w:tr w:rsidR="00D61AE6" w:rsidRPr="00D61AE6" w14:paraId="32E76146" w14:textId="77777777" w:rsidTr="00D61AE6">
        <w:trPr>
          <w:trHeight w:val="282"/>
        </w:trPr>
        <w:tc>
          <w:tcPr>
            <w:tcW w:w="5480" w:type="dxa"/>
            <w:tcBorders>
              <w:top w:val="nil"/>
              <w:left w:val="nil"/>
              <w:bottom w:val="nil"/>
              <w:right w:val="nil"/>
            </w:tcBorders>
            <w:shd w:val="clear" w:color="auto" w:fill="auto"/>
            <w:noWrap/>
            <w:hideMark/>
          </w:tcPr>
          <w:p w14:paraId="32E76143" w14:textId="77777777" w:rsidR="00D61AE6" w:rsidRPr="00926B93" w:rsidRDefault="00D61AE6" w:rsidP="007949F7">
            <w:pPr>
              <w:spacing w:line="360" w:lineRule="auto"/>
              <w:rPr>
                <w:i/>
                <w:iCs/>
                <w:color w:val="000000"/>
              </w:rPr>
            </w:pPr>
            <w:r w:rsidRPr="00926B93">
              <w:rPr>
                <w:i/>
                <w:iCs/>
                <w:color w:val="000000"/>
              </w:rPr>
              <w:t xml:space="preserve">Alimentos </w:t>
            </w:r>
            <w:proofErr w:type="gramStart"/>
            <w:r w:rsidRPr="00926B93">
              <w:rPr>
                <w:i/>
                <w:iCs/>
                <w:color w:val="000000"/>
              </w:rPr>
              <w:t>y  Bebidas</w:t>
            </w:r>
            <w:proofErr w:type="gramEnd"/>
            <w:r w:rsidRPr="00926B93">
              <w:rPr>
                <w:i/>
                <w:iCs/>
                <w:color w:val="000000"/>
              </w:rPr>
              <w:t xml:space="preserve"> para Personas</w:t>
            </w:r>
          </w:p>
        </w:tc>
        <w:tc>
          <w:tcPr>
            <w:tcW w:w="1481" w:type="dxa"/>
            <w:tcBorders>
              <w:top w:val="nil"/>
              <w:left w:val="nil"/>
              <w:bottom w:val="nil"/>
              <w:right w:val="nil"/>
            </w:tcBorders>
            <w:shd w:val="clear" w:color="auto" w:fill="auto"/>
            <w:noWrap/>
            <w:hideMark/>
          </w:tcPr>
          <w:p w14:paraId="32E76144" w14:textId="17B106D9" w:rsidR="00D61AE6" w:rsidRPr="00926B93" w:rsidRDefault="00AD2194" w:rsidP="007949F7">
            <w:pPr>
              <w:spacing w:line="360" w:lineRule="auto"/>
              <w:jc w:val="right"/>
              <w:rPr>
                <w:i/>
                <w:color w:val="000000"/>
              </w:rPr>
            </w:pPr>
            <w:r w:rsidRPr="00926B93">
              <w:rPr>
                <w:i/>
                <w:color w:val="000000"/>
              </w:rPr>
              <w:t>549,514.08</w:t>
            </w:r>
          </w:p>
        </w:tc>
        <w:tc>
          <w:tcPr>
            <w:tcW w:w="1418" w:type="dxa"/>
            <w:tcBorders>
              <w:top w:val="nil"/>
              <w:left w:val="nil"/>
              <w:bottom w:val="nil"/>
              <w:right w:val="nil"/>
            </w:tcBorders>
          </w:tcPr>
          <w:p w14:paraId="4C3DC26C" w14:textId="08F9ED7A" w:rsidR="00D61AE6" w:rsidRPr="00926B93" w:rsidRDefault="00D61AE6" w:rsidP="007949F7">
            <w:pPr>
              <w:spacing w:line="360" w:lineRule="auto"/>
              <w:jc w:val="right"/>
              <w:rPr>
                <w:i/>
                <w:color w:val="000000"/>
              </w:rPr>
            </w:pPr>
            <w:r w:rsidRPr="00926B93">
              <w:rPr>
                <w:i/>
                <w:color w:val="000000"/>
              </w:rPr>
              <w:t>306,356.30</w:t>
            </w:r>
          </w:p>
        </w:tc>
        <w:tc>
          <w:tcPr>
            <w:tcW w:w="1418" w:type="dxa"/>
            <w:tcBorders>
              <w:top w:val="nil"/>
              <w:left w:val="nil"/>
              <w:bottom w:val="nil"/>
              <w:right w:val="nil"/>
            </w:tcBorders>
            <w:shd w:val="clear" w:color="auto" w:fill="auto"/>
            <w:noWrap/>
            <w:vAlign w:val="center"/>
          </w:tcPr>
          <w:p w14:paraId="32E76145" w14:textId="447437D5" w:rsidR="00D61AE6" w:rsidRPr="00D61AE6" w:rsidRDefault="00D61AE6" w:rsidP="007949F7">
            <w:pPr>
              <w:spacing w:line="360" w:lineRule="auto"/>
              <w:jc w:val="right"/>
              <w:rPr>
                <w:iCs/>
                <w:color w:val="000000"/>
              </w:rPr>
            </w:pPr>
          </w:p>
        </w:tc>
      </w:tr>
      <w:tr w:rsidR="00D61AE6" w:rsidRPr="00D61AE6" w14:paraId="32E7614A" w14:textId="77777777" w:rsidTr="00D61AE6">
        <w:trPr>
          <w:trHeight w:val="282"/>
        </w:trPr>
        <w:tc>
          <w:tcPr>
            <w:tcW w:w="5480" w:type="dxa"/>
            <w:tcBorders>
              <w:top w:val="nil"/>
              <w:left w:val="nil"/>
              <w:bottom w:val="nil"/>
              <w:right w:val="nil"/>
            </w:tcBorders>
            <w:shd w:val="clear" w:color="auto" w:fill="auto"/>
            <w:noWrap/>
            <w:hideMark/>
          </w:tcPr>
          <w:p w14:paraId="32E76147" w14:textId="77777777" w:rsidR="00D61AE6" w:rsidRPr="00926B93" w:rsidRDefault="00D61AE6" w:rsidP="007949F7">
            <w:pPr>
              <w:spacing w:line="360" w:lineRule="auto"/>
              <w:rPr>
                <w:i/>
                <w:iCs/>
                <w:color w:val="000000"/>
              </w:rPr>
            </w:pPr>
            <w:r w:rsidRPr="00926B93">
              <w:rPr>
                <w:i/>
                <w:iCs/>
                <w:color w:val="000000"/>
              </w:rPr>
              <w:t>Productos Forestales</w:t>
            </w:r>
          </w:p>
        </w:tc>
        <w:tc>
          <w:tcPr>
            <w:tcW w:w="1481" w:type="dxa"/>
            <w:tcBorders>
              <w:top w:val="nil"/>
              <w:left w:val="nil"/>
              <w:bottom w:val="nil"/>
              <w:right w:val="nil"/>
            </w:tcBorders>
            <w:shd w:val="clear" w:color="auto" w:fill="auto"/>
            <w:noWrap/>
            <w:hideMark/>
          </w:tcPr>
          <w:p w14:paraId="32E76148" w14:textId="0A061871" w:rsidR="00D61AE6" w:rsidRPr="00926B93" w:rsidRDefault="001D5EA1" w:rsidP="007949F7">
            <w:pPr>
              <w:spacing w:line="360" w:lineRule="auto"/>
              <w:jc w:val="right"/>
              <w:rPr>
                <w:i/>
                <w:color w:val="000000"/>
              </w:rPr>
            </w:pPr>
            <w:r w:rsidRPr="00926B93">
              <w:rPr>
                <w:i/>
                <w:color w:val="000000"/>
              </w:rPr>
              <w:t>145,789.00</w:t>
            </w:r>
          </w:p>
        </w:tc>
        <w:tc>
          <w:tcPr>
            <w:tcW w:w="1418" w:type="dxa"/>
            <w:tcBorders>
              <w:top w:val="nil"/>
              <w:left w:val="nil"/>
              <w:bottom w:val="nil"/>
              <w:right w:val="nil"/>
            </w:tcBorders>
          </w:tcPr>
          <w:p w14:paraId="726A3570" w14:textId="771807E8" w:rsidR="00D61AE6" w:rsidRPr="00926B93" w:rsidRDefault="00D61AE6" w:rsidP="007949F7">
            <w:pPr>
              <w:spacing w:line="360" w:lineRule="auto"/>
              <w:jc w:val="right"/>
              <w:rPr>
                <w:i/>
                <w:color w:val="000000"/>
              </w:rPr>
            </w:pPr>
            <w:r w:rsidRPr="00926B93">
              <w:rPr>
                <w:i/>
                <w:color w:val="000000"/>
              </w:rPr>
              <w:t>5,251.00</w:t>
            </w:r>
          </w:p>
        </w:tc>
        <w:tc>
          <w:tcPr>
            <w:tcW w:w="1418" w:type="dxa"/>
            <w:tcBorders>
              <w:top w:val="nil"/>
              <w:left w:val="nil"/>
              <w:bottom w:val="nil"/>
              <w:right w:val="nil"/>
            </w:tcBorders>
            <w:shd w:val="clear" w:color="auto" w:fill="auto"/>
            <w:noWrap/>
            <w:vAlign w:val="center"/>
          </w:tcPr>
          <w:p w14:paraId="32E76149" w14:textId="398EBD72" w:rsidR="00D61AE6" w:rsidRPr="00D61AE6" w:rsidRDefault="00D61AE6" w:rsidP="007949F7">
            <w:pPr>
              <w:spacing w:line="360" w:lineRule="auto"/>
              <w:jc w:val="right"/>
              <w:rPr>
                <w:iCs/>
                <w:color w:val="000000"/>
              </w:rPr>
            </w:pPr>
          </w:p>
        </w:tc>
      </w:tr>
      <w:tr w:rsidR="00D61AE6" w:rsidRPr="00D61AE6" w14:paraId="32E7614E" w14:textId="77777777" w:rsidTr="00D61AE6">
        <w:trPr>
          <w:trHeight w:val="282"/>
        </w:trPr>
        <w:tc>
          <w:tcPr>
            <w:tcW w:w="5480" w:type="dxa"/>
            <w:tcBorders>
              <w:top w:val="nil"/>
              <w:left w:val="nil"/>
              <w:bottom w:val="nil"/>
              <w:right w:val="nil"/>
            </w:tcBorders>
            <w:shd w:val="clear" w:color="auto" w:fill="auto"/>
            <w:noWrap/>
            <w:hideMark/>
          </w:tcPr>
          <w:p w14:paraId="32E7614B" w14:textId="77777777" w:rsidR="00D61AE6" w:rsidRPr="00926B93" w:rsidRDefault="00D61AE6" w:rsidP="007949F7">
            <w:pPr>
              <w:spacing w:line="360" w:lineRule="auto"/>
              <w:rPr>
                <w:i/>
                <w:iCs/>
                <w:color w:val="000000"/>
              </w:rPr>
            </w:pPr>
            <w:r w:rsidRPr="00926B93">
              <w:rPr>
                <w:i/>
                <w:iCs/>
                <w:color w:val="000000"/>
              </w:rPr>
              <w:t>Hilados y Telas</w:t>
            </w:r>
          </w:p>
        </w:tc>
        <w:tc>
          <w:tcPr>
            <w:tcW w:w="1481" w:type="dxa"/>
            <w:tcBorders>
              <w:top w:val="nil"/>
              <w:left w:val="nil"/>
              <w:bottom w:val="nil"/>
              <w:right w:val="nil"/>
            </w:tcBorders>
            <w:shd w:val="clear" w:color="auto" w:fill="auto"/>
            <w:noWrap/>
            <w:hideMark/>
          </w:tcPr>
          <w:p w14:paraId="32E7614C" w14:textId="69DD0AF7" w:rsidR="00D61AE6" w:rsidRPr="00926B93" w:rsidRDefault="001D5EA1" w:rsidP="007949F7">
            <w:pPr>
              <w:spacing w:line="360" w:lineRule="auto"/>
              <w:jc w:val="right"/>
              <w:rPr>
                <w:i/>
                <w:color w:val="000000"/>
              </w:rPr>
            </w:pPr>
            <w:r w:rsidRPr="00926B93">
              <w:rPr>
                <w:i/>
                <w:color w:val="000000"/>
              </w:rPr>
              <w:t>3,695.76</w:t>
            </w:r>
          </w:p>
        </w:tc>
        <w:tc>
          <w:tcPr>
            <w:tcW w:w="1418" w:type="dxa"/>
            <w:tcBorders>
              <w:top w:val="nil"/>
              <w:left w:val="nil"/>
              <w:bottom w:val="nil"/>
              <w:right w:val="nil"/>
            </w:tcBorders>
          </w:tcPr>
          <w:p w14:paraId="20CAE70A" w14:textId="6FF43E06" w:rsidR="00D61AE6" w:rsidRPr="00926B93" w:rsidRDefault="00D61AE6" w:rsidP="007949F7">
            <w:pPr>
              <w:spacing w:line="360" w:lineRule="auto"/>
              <w:jc w:val="right"/>
              <w:rPr>
                <w:i/>
                <w:color w:val="000000"/>
              </w:rPr>
            </w:pPr>
            <w:r w:rsidRPr="00926B93">
              <w:rPr>
                <w:i/>
                <w:color w:val="000000"/>
              </w:rPr>
              <w:t>0.00</w:t>
            </w:r>
          </w:p>
        </w:tc>
        <w:tc>
          <w:tcPr>
            <w:tcW w:w="1418" w:type="dxa"/>
            <w:tcBorders>
              <w:top w:val="nil"/>
              <w:left w:val="nil"/>
              <w:bottom w:val="nil"/>
              <w:right w:val="nil"/>
            </w:tcBorders>
            <w:shd w:val="clear" w:color="auto" w:fill="auto"/>
            <w:noWrap/>
            <w:vAlign w:val="center"/>
          </w:tcPr>
          <w:p w14:paraId="32E7614D" w14:textId="34069ACD" w:rsidR="00D61AE6" w:rsidRPr="00D61AE6" w:rsidRDefault="00D61AE6" w:rsidP="007949F7">
            <w:pPr>
              <w:spacing w:line="360" w:lineRule="auto"/>
              <w:jc w:val="right"/>
              <w:rPr>
                <w:iCs/>
                <w:color w:val="000000"/>
              </w:rPr>
            </w:pPr>
          </w:p>
        </w:tc>
      </w:tr>
      <w:tr w:rsidR="00D61AE6" w:rsidRPr="00D61AE6" w14:paraId="32E76152" w14:textId="77777777" w:rsidTr="00D61AE6">
        <w:trPr>
          <w:trHeight w:val="282"/>
        </w:trPr>
        <w:tc>
          <w:tcPr>
            <w:tcW w:w="5480" w:type="dxa"/>
            <w:tcBorders>
              <w:top w:val="nil"/>
              <w:left w:val="nil"/>
              <w:bottom w:val="nil"/>
              <w:right w:val="nil"/>
            </w:tcBorders>
            <w:shd w:val="clear" w:color="auto" w:fill="auto"/>
            <w:noWrap/>
            <w:hideMark/>
          </w:tcPr>
          <w:p w14:paraId="32E7614F" w14:textId="77777777" w:rsidR="00D61AE6" w:rsidRPr="00926B93" w:rsidRDefault="00D61AE6" w:rsidP="007949F7">
            <w:pPr>
              <w:spacing w:line="360" w:lineRule="auto"/>
              <w:rPr>
                <w:i/>
                <w:iCs/>
                <w:color w:val="000000"/>
              </w:rPr>
            </w:pPr>
            <w:r w:rsidRPr="00926B93">
              <w:rPr>
                <w:i/>
                <w:iCs/>
                <w:color w:val="000000"/>
              </w:rPr>
              <w:t>Madera, Corchos y Manufacturas</w:t>
            </w:r>
          </w:p>
        </w:tc>
        <w:tc>
          <w:tcPr>
            <w:tcW w:w="1481" w:type="dxa"/>
            <w:tcBorders>
              <w:top w:val="nil"/>
              <w:left w:val="nil"/>
              <w:bottom w:val="nil"/>
              <w:right w:val="nil"/>
            </w:tcBorders>
            <w:shd w:val="clear" w:color="auto" w:fill="auto"/>
            <w:noWrap/>
            <w:hideMark/>
          </w:tcPr>
          <w:p w14:paraId="32E76150" w14:textId="44BD847A" w:rsidR="00D61AE6" w:rsidRPr="00926B93" w:rsidRDefault="001D5EA1" w:rsidP="007949F7">
            <w:pPr>
              <w:spacing w:line="360" w:lineRule="auto"/>
              <w:jc w:val="right"/>
              <w:rPr>
                <w:i/>
                <w:color w:val="000000"/>
              </w:rPr>
            </w:pPr>
            <w:r w:rsidRPr="00926B93">
              <w:rPr>
                <w:i/>
                <w:color w:val="000000"/>
              </w:rPr>
              <w:t>0.00</w:t>
            </w:r>
          </w:p>
        </w:tc>
        <w:tc>
          <w:tcPr>
            <w:tcW w:w="1418" w:type="dxa"/>
            <w:tcBorders>
              <w:top w:val="nil"/>
              <w:left w:val="nil"/>
              <w:bottom w:val="nil"/>
              <w:right w:val="nil"/>
            </w:tcBorders>
          </w:tcPr>
          <w:p w14:paraId="71446617" w14:textId="07FC5801" w:rsidR="00D61AE6" w:rsidRPr="00926B93" w:rsidRDefault="00D61AE6" w:rsidP="007949F7">
            <w:pPr>
              <w:spacing w:line="360" w:lineRule="auto"/>
              <w:jc w:val="right"/>
              <w:rPr>
                <w:i/>
                <w:color w:val="000000"/>
              </w:rPr>
            </w:pPr>
            <w:r w:rsidRPr="00926B93">
              <w:rPr>
                <w:i/>
                <w:color w:val="000000"/>
              </w:rPr>
              <w:t>3,833.80</w:t>
            </w:r>
          </w:p>
        </w:tc>
        <w:tc>
          <w:tcPr>
            <w:tcW w:w="1418" w:type="dxa"/>
            <w:tcBorders>
              <w:top w:val="nil"/>
              <w:left w:val="nil"/>
              <w:bottom w:val="nil"/>
              <w:right w:val="nil"/>
            </w:tcBorders>
            <w:shd w:val="clear" w:color="auto" w:fill="auto"/>
            <w:noWrap/>
            <w:vAlign w:val="center"/>
          </w:tcPr>
          <w:p w14:paraId="32E76151" w14:textId="7C6D82E2" w:rsidR="00D61AE6" w:rsidRPr="00D61AE6" w:rsidRDefault="00D61AE6" w:rsidP="007949F7">
            <w:pPr>
              <w:spacing w:line="360" w:lineRule="auto"/>
              <w:jc w:val="right"/>
              <w:rPr>
                <w:iCs/>
                <w:color w:val="000000"/>
              </w:rPr>
            </w:pPr>
          </w:p>
        </w:tc>
      </w:tr>
      <w:tr w:rsidR="00D61AE6" w:rsidRPr="00D61AE6" w14:paraId="32E76156" w14:textId="77777777" w:rsidTr="00D61AE6">
        <w:trPr>
          <w:trHeight w:val="282"/>
        </w:trPr>
        <w:tc>
          <w:tcPr>
            <w:tcW w:w="5480" w:type="dxa"/>
            <w:tcBorders>
              <w:top w:val="nil"/>
              <w:left w:val="nil"/>
              <w:bottom w:val="nil"/>
              <w:right w:val="nil"/>
            </w:tcBorders>
            <w:shd w:val="clear" w:color="auto" w:fill="auto"/>
            <w:noWrap/>
            <w:hideMark/>
          </w:tcPr>
          <w:p w14:paraId="32E76153" w14:textId="77777777" w:rsidR="00D61AE6" w:rsidRPr="00926B93" w:rsidRDefault="00D61AE6" w:rsidP="007949F7">
            <w:pPr>
              <w:spacing w:line="360" w:lineRule="auto"/>
              <w:rPr>
                <w:i/>
                <w:iCs/>
                <w:color w:val="000000"/>
              </w:rPr>
            </w:pPr>
            <w:r w:rsidRPr="00926B93">
              <w:rPr>
                <w:i/>
                <w:iCs/>
                <w:color w:val="000000"/>
              </w:rPr>
              <w:t>Acabados Textiles</w:t>
            </w:r>
          </w:p>
        </w:tc>
        <w:tc>
          <w:tcPr>
            <w:tcW w:w="1481" w:type="dxa"/>
            <w:tcBorders>
              <w:top w:val="nil"/>
              <w:left w:val="nil"/>
              <w:bottom w:val="nil"/>
              <w:right w:val="nil"/>
            </w:tcBorders>
            <w:shd w:val="clear" w:color="auto" w:fill="auto"/>
            <w:noWrap/>
            <w:hideMark/>
          </w:tcPr>
          <w:p w14:paraId="32E76154" w14:textId="4545A172" w:rsidR="00D61AE6" w:rsidRPr="00926B93" w:rsidRDefault="0056639F" w:rsidP="007949F7">
            <w:pPr>
              <w:spacing w:line="360" w:lineRule="auto"/>
              <w:jc w:val="right"/>
              <w:rPr>
                <w:i/>
                <w:color w:val="000000"/>
              </w:rPr>
            </w:pPr>
            <w:r w:rsidRPr="00926B93">
              <w:rPr>
                <w:i/>
                <w:color w:val="000000"/>
              </w:rPr>
              <w:t>85,862.65</w:t>
            </w:r>
          </w:p>
        </w:tc>
        <w:tc>
          <w:tcPr>
            <w:tcW w:w="1418" w:type="dxa"/>
            <w:tcBorders>
              <w:top w:val="nil"/>
              <w:left w:val="nil"/>
              <w:bottom w:val="nil"/>
              <w:right w:val="nil"/>
            </w:tcBorders>
          </w:tcPr>
          <w:p w14:paraId="0EBBB9DD" w14:textId="76C8E086" w:rsidR="00D61AE6" w:rsidRPr="00926B93" w:rsidRDefault="00D61AE6" w:rsidP="007949F7">
            <w:pPr>
              <w:spacing w:line="360" w:lineRule="auto"/>
              <w:jc w:val="right"/>
              <w:rPr>
                <w:i/>
                <w:color w:val="000000"/>
              </w:rPr>
            </w:pPr>
            <w:r w:rsidRPr="00926B93">
              <w:rPr>
                <w:i/>
                <w:color w:val="000000"/>
              </w:rPr>
              <w:t>5,290.97</w:t>
            </w:r>
          </w:p>
        </w:tc>
        <w:tc>
          <w:tcPr>
            <w:tcW w:w="1418" w:type="dxa"/>
            <w:tcBorders>
              <w:top w:val="nil"/>
              <w:left w:val="nil"/>
              <w:bottom w:val="nil"/>
              <w:right w:val="nil"/>
            </w:tcBorders>
            <w:shd w:val="clear" w:color="auto" w:fill="auto"/>
            <w:noWrap/>
            <w:vAlign w:val="center"/>
          </w:tcPr>
          <w:p w14:paraId="32E76155" w14:textId="10432532" w:rsidR="00D61AE6" w:rsidRPr="00D61AE6" w:rsidRDefault="00D61AE6" w:rsidP="007949F7">
            <w:pPr>
              <w:spacing w:line="360" w:lineRule="auto"/>
              <w:jc w:val="right"/>
              <w:rPr>
                <w:iCs/>
                <w:color w:val="000000"/>
              </w:rPr>
            </w:pPr>
          </w:p>
        </w:tc>
      </w:tr>
      <w:tr w:rsidR="00D61AE6" w:rsidRPr="00D61AE6" w14:paraId="32E7615A" w14:textId="77777777" w:rsidTr="00D61AE6">
        <w:trPr>
          <w:trHeight w:val="282"/>
        </w:trPr>
        <w:tc>
          <w:tcPr>
            <w:tcW w:w="5480" w:type="dxa"/>
            <w:tcBorders>
              <w:top w:val="nil"/>
              <w:left w:val="nil"/>
              <w:bottom w:val="nil"/>
              <w:right w:val="nil"/>
            </w:tcBorders>
            <w:shd w:val="clear" w:color="auto" w:fill="auto"/>
            <w:noWrap/>
            <w:hideMark/>
          </w:tcPr>
          <w:p w14:paraId="32E76157" w14:textId="77777777" w:rsidR="00D61AE6" w:rsidRPr="00926B93" w:rsidRDefault="00D61AE6" w:rsidP="007949F7">
            <w:pPr>
              <w:spacing w:line="360" w:lineRule="auto"/>
              <w:rPr>
                <w:i/>
                <w:iCs/>
                <w:color w:val="000000"/>
              </w:rPr>
            </w:pPr>
            <w:r w:rsidRPr="00926B93">
              <w:rPr>
                <w:i/>
                <w:iCs/>
                <w:color w:val="000000"/>
              </w:rPr>
              <w:t>Prenda de Vestir</w:t>
            </w:r>
          </w:p>
        </w:tc>
        <w:tc>
          <w:tcPr>
            <w:tcW w:w="1481" w:type="dxa"/>
            <w:tcBorders>
              <w:top w:val="nil"/>
              <w:left w:val="nil"/>
              <w:bottom w:val="nil"/>
              <w:right w:val="nil"/>
            </w:tcBorders>
            <w:shd w:val="clear" w:color="auto" w:fill="auto"/>
            <w:noWrap/>
            <w:hideMark/>
          </w:tcPr>
          <w:p w14:paraId="32E76158" w14:textId="01614880" w:rsidR="00D61AE6" w:rsidRPr="00926B93" w:rsidRDefault="0056639F" w:rsidP="007949F7">
            <w:pPr>
              <w:spacing w:line="360" w:lineRule="auto"/>
              <w:jc w:val="right"/>
              <w:rPr>
                <w:i/>
                <w:color w:val="000000"/>
              </w:rPr>
            </w:pPr>
            <w:r w:rsidRPr="00926B93">
              <w:rPr>
                <w:i/>
                <w:color w:val="000000"/>
              </w:rPr>
              <w:t>4,750.00</w:t>
            </w:r>
          </w:p>
        </w:tc>
        <w:tc>
          <w:tcPr>
            <w:tcW w:w="1418" w:type="dxa"/>
            <w:tcBorders>
              <w:top w:val="nil"/>
              <w:left w:val="nil"/>
              <w:bottom w:val="nil"/>
              <w:right w:val="nil"/>
            </w:tcBorders>
          </w:tcPr>
          <w:p w14:paraId="0C7D37DD" w14:textId="135A5D6F" w:rsidR="00D61AE6" w:rsidRPr="00926B93" w:rsidRDefault="00D61AE6" w:rsidP="007949F7">
            <w:pPr>
              <w:spacing w:line="360" w:lineRule="auto"/>
              <w:jc w:val="right"/>
              <w:rPr>
                <w:i/>
                <w:color w:val="000000"/>
              </w:rPr>
            </w:pPr>
            <w:r w:rsidRPr="00926B93">
              <w:rPr>
                <w:i/>
                <w:color w:val="000000"/>
              </w:rPr>
              <w:t>75,136.52</w:t>
            </w:r>
          </w:p>
        </w:tc>
        <w:tc>
          <w:tcPr>
            <w:tcW w:w="1418" w:type="dxa"/>
            <w:tcBorders>
              <w:top w:val="nil"/>
              <w:left w:val="nil"/>
              <w:bottom w:val="nil"/>
              <w:right w:val="nil"/>
            </w:tcBorders>
            <w:shd w:val="clear" w:color="auto" w:fill="auto"/>
            <w:noWrap/>
            <w:vAlign w:val="center"/>
          </w:tcPr>
          <w:p w14:paraId="32E76159" w14:textId="7AF6A3D6" w:rsidR="00D61AE6" w:rsidRPr="00D61AE6" w:rsidRDefault="00D61AE6" w:rsidP="007949F7">
            <w:pPr>
              <w:spacing w:line="360" w:lineRule="auto"/>
              <w:jc w:val="right"/>
              <w:rPr>
                <w:iCs/>
                <w:color w:val="000000"/>
              </w:rPr>
            </w:pPr>
          </w:p>
        </w:tc>
      </w:tr>
      <w:tr w:rsidR="00D61AE6" w:rsidRPr="00D61AE6" w14:paraId="32E76162" w14:textId="77777777" w:rsidTr="00D61AE6">
        <w:trPr>
          <w:trHeight w:val="282"/>
        </w:trPr>
        <w:tc>
          <w:tcPr>
            <w:tcW w:w="5480" w:type="dxa"/>
            <w:tcBorders>
              <w:top w:val="nil"/>
              <w:left w:val="nil"/>
              <w:bottom w:val="nil"/>
              <w:right w:val="nil"/>
            </w:tcBorders>
            <w:shd w:val="clear" w:color="auto" w:fill="auto"/>
            <w:noWrap/>
            <w:hideMark/>
          </w:tcPr>
          <w:p w14:paraId="32E7615F" w14:textId="77777777" w:rsidR="00D61AE6" w:rsidRPr="00926B93" w:rsidRDefault="00D61AE6" w:rsidP="007949F7">
            <w:pPr>
              <w:spacing w:line="360" w:lineRule="auto"/>
              <w:rPr>
                <w:i/>
                <w:iCs/>
                <w:color w:val="000000"/>
              </w:rPr>
            </w:pPr>
            <w:r w:rsidRPr="00926B93">
              <w:rPr>
                <w:i/>
                <w:iCs/>
                <w:color w:val="000000"/>
              </w:rPr>
              <w:t>Papel de Escritorio</w:t>
            </w:r>
          </w:p>
        </w:tc>
        <w:tc>
          <w:tcPr>
            <w:tcW w:w="1481" w:type="dxa"/>
            <w:tcBorders>
              <w:top w:val="nil"/>
              <w:left w:val="nil"/>
              <w:bottom w:val="nil"/>
              <w:right w:val="nil"/>
            </w:tcBorders>
            <w:shd w:val="clear" w:color="auto" w:fill="auto"/>
            <w:noWrap/>
            <w:hideMark/>
          </w:tcPr>
          <w:p w14:paraId="32E76160" w14:textId="285FB8F6" w:rsidR="00D61AE6" w:rsidRPr="00926B93" w:rsidRDefault="0056639F" w:rsidP="007949F7">
            <w:pPr>
              <w:spacing w:line="360" w:lineRule="auto"/>
              <w:jc w:val="right"/>
              <w:rPr>
                <w:i/>
                <w:color w:val="000000"/>
              </w:rPr>
            </w:pPr>
            <w:r w:rsidRPr="00926B93">
              <w:rPr>
                <w:i/>
                <w:color w:val="000000"/>
              </w:rPr>
              <w:t>148,234.75</w:t>
            </w:r>
          </w:p>
        </w:tc>
        <w:tc>
          <w:tcPr>
            <w:tcW w:w="1418" w:type="dxa"/>
            <w:tcBorders>
              <w:top w:val="nil"/>
              <w:left w:val="nil"/>
              <w:bottom w:val="nil"/>
              <w:right w:val="nil"/>
            </w:tcBorders>
          </w:tcPr>
          <w:p w14:paraId="1C2CD539" w14:textId="1AB17449" w:rsidR="00D61AE6" w:rsidRPr="00926B93" w:rsidRDefault="00D61AE6" w:rsidP="007949F7">
            <w:pPr>
              <w:spacing w:line="360" w:lineRule="auto"/>
              <w:jc w:val="right"/>
              <w:rPr>
                <w:i/>
                <w:color w:val="000000"/>
              </w:rPr>
            </w:pPr>
            <w:r w:rsidRPr="00926B93">
              <w:rPr>
                <w:i/>
                <w:color w:val="000000"/>
              </w:rPr>
              <w:t>66,021.69</w:t>
            </w:r>
          </w:p>
        </w:tc>
        <w:tc>
          <w:tcPr>
            <w:tcW w:w="1418" w:type="dxa"/>
            <w:tcBorders>
              <w:top w:val="nil"/>
              <w:left w:val="nil"/>
              <w:bottom w:val="nil"/>
              <w:right w:val="nil"/>
            </w:tcBorders>
            <w:shd w:val="clear" w:color="auto" w:fill="auto"/>
            <w:noWrap/>
            <w:vAlign w:val="center"/>
          </w:tcPr>
          <w:p w14:paraId="32E76161" w14:textId="684FF20A" w:rsidR="00D61AE6" w:rsidRPr="00D61AE6" w:rsidRDefault="00D61AE6" w:rsidP="007949F7">
            <w:pPr>
              <w:spacing w:line="360" w:lineRule="auto"/>
              <w:jc w:val="right"/>
              <w:rPr>
                <w:iCs/>
                <w:color w:val="000000"/>
              </w:rPr>
            </w:pPr>
          </w:p>
        </w:tc>
      </w:tr>
      <w:tr w:rsidR="00D61AE6" w:rsidRPr="00D61AE6" w14:paraId="32E76166" w14:textId="77777777" w:rsidTr="003B6825">
        <w:trPr>
          <w:trHeight w:val="282"/>
        </w:trPr>
        <w:tc>
          <w:tcPr>
            <w:tcW w:w="5480" w:type="dxa"/>
            <w:tcBorders>
              <w:top w:val="nil"/>
              <w:left w:val="nil"/>
              <w:bottom w:val="nil"/>
              <w:right w:val="nil"/>
            </w:tcBorders>
            <w:shd w:val="clear" w:color="auto" w:fill="auto"/>
            <w:noWrap/>
            <w:hideMark/>
          </w:tcPr>
          <w:p w14:paraId="32E76163" w14:textId="77777777" w:rsidR="00D61AE6" w:rsidRPr="00926B93" w:rsidRDefault="00D61AE6" w:rsidP="007949F7">
            <w:pPr>
              <w:spacing w:line="360" w:lineRule="auto"/>
              <w:rPr>
                <w:i/>
                <w:iCs/>
                <w:color w:val="000000"/>
              </w:rPr>
            </w:pPr>
            <w:r w:rsidRPr="00926B93">
              <w:rPr>
                <w:i/>
                <w:iCs/>
                <w:color w:val="000000"/>
              </w:rPr>
              <w:t>Productos de Papel y Cartón</w:t>
            </w:r>
          </w:p>
        </w:tc>
        <w:tc>
          <w:tcPr>
            <w:tcW w:w="1481" w:type="dxa"/>
            <w:tcBorders>
              <w:top w:val="nil"/>
              <w:left w:val="nil"/>
              <w:bottom w:val="nil"/>
              <w:right w:val="nil"/>
            </w:tcBorders>
            <w:shd w:val="clear" w:color="auto" w:fill="auto"/>
            <w:noWrap/>
          </w:tcPr>
          <w:p w14:paraId="32E76164" w14:textId="0D16F3C0" w:rsidR="00D61AE6" w:rsidRPr="00926B93" w:rsidRDefault="003B6825" w:rsidP="007949F7">
            <w:pPr>
              <w:spacing w:line="360" w:lineRule="auto"/>
              <w:jc w:val="right"/>
              <w:rPr>
                <w:i/>
                <w:color w:val="000000"/>
              </w:rPr>
            </w:pPr>
            <w:r w:rsidRPr="00926B93">
              <w:rPr>
                <w:i/>
                <w:color w:val="000000"/>
              </w:rPr>
              <w:t>397,935.31</w:t>
            </w:r>
          </w:p>
        </w:tc>
        <w:tc>
          <w:tcPr>
            <w:tcW w:w="1418" w:type="dxa"/>
            <w:tcBorders>
              <w:top w:val="nil"/>
              <w:left w:val="nil"/>
              <w:bottom w:val="nil"/>
              <w:right w:val="nil"/>
            </w:tcBorders>
          </w:tcPr>
          <w:p w14:paraId="47F2123F" w14:textId="24C6D855" w:rsidR="00D61AE6" w:rsidRPr="00926B93" w:rsidRDefault="00D61AE6" w:rsidP="007949F7">
            <w:pPr>
              <w:spacing w:line="360" w:lineRule="auto"/>
              <w:jc w:val="right"/>
              <w:rPr>
                <w:i/>
                <w:color w:val="000000"/>
              </w:rPr>
            </w:pPr>
            <w:r w:rsidRPr="00926B93">
              <w:rPr>
                <w:i/>
                <w:color w:val="000000"/>
              </w:rPr>
              <w:t>245,895.52</w:t>
            </w:r>
          </w:p>
        </w:tc>
        <w:tc>
          <w:tcPr>
            <w:tcW w:w="1418" w:type="dxa"/>
            <w:tcBorders>
              <w:top w:val="nil"/>
              <w:left w:val="nil"/>
              <w:bottom w:val="nil"/>
              <w:right w:val="nil"/>
            </w:tcBorders>
            <w:shd w:val="clear" w:color="auto" w:fill="auto"/>
            <w:noWrap/>
            <w:vAlign w:val="center"/>
          </w:tcPr>
          <w:p w14:paraId="32E76165" w14:textId="5E054BCA" w:rsidR="00D61AE6" w:rsidRPr="00D61AE6" w:rsidRDefault="00D61AE6" w:rsidP="007949F7">
            <w:pPr>
              <w:spacing w:line="360" w:lineRule="auto"/>
              <w:jc w:val="right"/>
              <w:rPr>
                <w:iCs/>
                <w:color w:val="000000"/>
              </w:rPr>
            </w:pPr>
          </w:p>
        </w:tc>
      </w:tr>
      <w:tr w:rsidR="00D61AE6" w:rsidRPr="00D61AE6" w14:paraId="32E7616A" w14:textId="77777777" w:rsidTr="003B6825">
        <w:trPr>
          <w:trHeight w:val="282"/>
        </w:trPr>
        <w:tc>
          <w:tcPr>
            <w:tcW w:w="5480" w:type="dxa"/>
            <w:tcBorders>
              <w:top w:val="nil"/>
              <w:left w:val="nil"/>
              <w:bottom w:val="nil"/>
              <w:right w:val="nil"/>
            </w:tcBorders>
            <w:shd w:val="clear" w:color="auto" w:fill="auto"/>
            <w:noWrap/>
            <w:hideMark/>
          </w:tcPr>
          <w:p w14:paraId="32E76167" w14:textId="77777777" w:rsidR="00D61AE6" w:rsidRPr="00926B93" w:rsidRDefault="00D61AE6" w:rsidP="007949F7">
            <w:pPr>
              <w:spacing w:line="360" w:lineRule="auto"/>
              <w:rPr>
                <w:i/>
                <w:iCs/>
                <w:color w:val="000000"/>
              </w:rPr>
            </w:pPr>
            <w:r w:rsidRPr="00926B93">
              <w:rPr>
                <w:i/>
                <w:iCs/>
                <w:color w:val="000000"/>
              </w:rPr>
              <w:t>Libros, Revistas y Periódicos</w:t>
            </w:r>
          </w:p>
        </w:tc>
        <w:tc>
          <w:tcPr>
            <w:tcW w:w="1481" w:type="dxa"/>
            <w:tcBorders>
              <w:top w:val="nil"/>
              <w:left w:val="nil"/>
              <w:bottom w:val="nil"/>
              <w:right w:val="nil"/>
            </w:tcBorders>
            <w:shd w:val="clear" w:color="auto" w:fill="auto"/>
            <w:noWrap/>
          </w:tcPr>
          <w:p w14:paraId="32E76168" w14:textId="256AFB84" w:rsidR="00D61AE6" w:rsidRPr="00926B93" w:rsidRDefault="003B6825" w:rsidP="007949F7">
            <w:pPr>
              <w:spacing w:line="360" w:lineRule="auto"/>
              <w:jc w:val="right"/>
              <w:rPr>
                <w:i/>
                <w:color w:val="000000"/>
              </w:rPr>
            </w:pPr>
            <w:r w:rsidRPr="00926B93">
              <w:rPr>
                <w:i/>
                <w:color w:val="000000"/>
              </w:rPr>
              <w:t>78,800.00</w:t>
            </w:r>
          </w:p>
        </w:tc>
        <w:tc>
          <w:tcPr>
            <w:tcW w:w="1418" w:type="dxa"/>
            <w:tcBorders>
              <w:top w:val="nil"/>
              <w:left w:val="nil"/>
              <w:bottom w:val="nil"/>
              <w:right w:val="nil"/>
            </w:tcBorders>
          </w:tcPr>
          <w:p w14:paraId="6560D204" w14:textId="7B65F71D" w:rsidR="00D61AE6" w:rsidRPr="00926B93" w:rsidRDefault="00D61AE6" w:rsidP="007949F7">
            <w:pPr>
              <w:spacing w:line="360" w:lineRule="auto"/>
              <w:jc w:val="right"/>
              <w:rPr>
                <w:i/>
                <w:color w:val="000000"/>
              </w:rPr>
            </w:pPr>
            <w:r w:rsidRPr="00926B93">
              <w:rPr>
                <w:i/>
                <w:color w:val="000000"/>
              </w:rPr>
              <w:t>74,820.00</w:t>
            </w:r>
          </w:p>
        </w:tc>
        <w:tc>
          <w:tcPr>
            <w:tcW w:w="1418" w:type="dxa"/>
            <w:tcBorders>
              <w:top w:val="nil"/>
              <w:left w:val="nil"/>
              <w:bottom w:val="nil"/>
              <w:right w:val="nil"/>
            </w:tcBorders>
            <w:shd w:val="clear" w:color="auto" w:fill="auto"/>
            <w:noWrap/>
            <w:vAlign w:val="center"/>
          </w:tcPr>
          <w:p w14:paraId="32E76169" w14:textId="0C395C47" w:rsidR="00D61AE6" w:rsidRPr="00D61AE6" w:rsidRDefault="00D61AE6" w:rsidP="007949F7">
            <w:pPr>
              <w:spacing w:line="360" w:lineRule="auto"/>
              <w:jc w:val="right"/>
              <w:rPr>
                <w:iCs/>
                <w:color w:val="000000"/>
              </w:rPr>
            </w:pPr>
          </w:p>
        </w:tc>
      </w:tr>
      <w:tr w:rsidR="00D61AE6" w:rsidRPr="00D61AE6" w14:paraId="32E7616E" w14:textId="77777777" w:rsidTr="003B6825">
        <w:trPr>
          <w:trHeight w:val="282"/>
        </w:trPr>
        <w:tc>
          <w:tcPr>
            <w:tcW w:w="5480" w:type="dxa"/>
            <w:tcBorders>
              <w:top w:val="nil"/>
              <w:left w:val="nil"/>
              <w:bottom w:val="nil"/>
              <w:right w:val="nil"/>
            </w:tcBorders>
            <w:shd w:val="clear" w:color="auto" w:fill="auto"/>
            <w:noWrap/>
            <w:hideMark/>
          </w:tcPr>
          <w:p w14:paraId="32E7616B" w14:textId="77777777" w:rsidR="00D61AE6" w:rsidRPr="00926B93" w:rsidRDefault="00D61AE6" w:rsidP="007949F7">
            <w:pPr>
              <w:spacing w:line="360" w:lineRule="auto"/>
              <w:rPr>
                <w:i/>
                <w:iCs/>
                <w:color w:val="000000"/>
              </w:rPr>
            </w:pPr>
            <w:r w:rsidRPr="00926B93">
              <w:rPr>
                <w:i/>
                <w:iCs/>
                <w:color w:val="000000"/>
              </w:rPr>
              <w:t>Productos de Artes</w:t>
            </w:r>
          </w:p>
        </w:tc>
        <w:tc>
          <w:tcPr>
            <w:tcW w:w="1481" w:type="dxa"/>
            <w:tcBorders>
              <w:top w:val="nil"/>
              <w:left w:val="nil"/>
              <w:bottom w:val="nil"/>
              <w:right w:val="nil"/>
            </w:tcBorders>
            <w:shd w:val="clear" w:color="auto" w:fill="auto"/>
            <w:noWrap/>
          </w:tcPr>
          <w:p w14:paraId="32E7616C" w14:textId="2627ADA9" w:rsidR="00D61AE6" w:rsidRPr="00926B93" w:rsidRDefault="001573AC" w:rsidP="007949F7">
            <w:pPr>
              <w:spacing w:line="360" w:lineRule="auto"/>
              <w:jc w:val="right"/>
              <w:rPr>
                <w:i/>
                <w:color w:val="000000"/>
              </w:rPr>
            </w:pPr>
            <w:r w:rsidRPr="00926B93">
              <w:rPr>
                <w:i/>
                <w:color w:val="000000"/>
              </w:rPr>
              <w:t>0.00</w:t>
            </w:r>
          </w:p>
        </w:tc>
        <w:tc>
          <w:tcPr>
            <w:tcW w:w="1418" w:type="dxa"/>
            <w:tcBorders>
              <w:top w:val="nil"/>
              <w:left w:val="nil"/>
              <w:bottom w:val="nil"/>
              <w:right w:val="nil"/>
            </w:tcBorders>
          </w:tcPr>
          <w:p w14:paraId="18E2F921" w14:textId="11C60342" w:rsidR="00D61AE6" w:rsidRPr="00926B93" w:rsidRDefault="00D61AE6" w:rsidP="007949F7">
            <w:pPr>
              <w:spacing w:line="360" w:lineRule="auto"/>
              <w:jc w:val="right"/>
              <w:rPr>
                <w:i/>
                <w:color w:val="000000"/>
              </w:rPr>
            </w:pPr>
            <w:r w:rsidRPr="00926B93">
              <w:rPr>
                <w:i/>
                <w:color w:val="000000"/>
              </w:rPr>
              <w:t>99,037.55</w:t>
            </w:r>
          </w:p>
        </w:tc>
        <w:tc>
          <w:tcPr>
            <w:tcW w:w="1418" w:type="dxa"/>
            <w:tcBorders>
              <w:top w:val="nil"/>
              <w:left w:val="nil"/>
              <w:bottom w:val="nil"/>
              <w:right w:val="nil"/>
            </w:tcBorders>
            <w:shd w:val="clear" w:color="auto" w:fill="auto"/>
            <w:noWrap/>
            <w:vAlign w:val="center"/>
          </w:tcPr>
          <w:p w14:paraId="32E7616D" w14:textId="0F95C5BF" w:rsidR="00D61AE6" w:rsidRPr="00D61AE6" w:rsidRDefault="00D61AE6" w:rsidP="007949F7">
            <w:pPr>
              <w:spacing w:line="360" w:lineRule="auto"/>
              <w:jc w:val="right"/>
              <w:rPr>
                <w:iCs/>
                <w:color w:val="000000"/>
              </w:rPr>
            </w:pPr>
          </w:p>
        </w:tc>
      </w:tr>
      <w:tr w:rsidR="00D61AE6" w:rsidRPr="00D61AE6" w14:paraId="32E76172" w14:textId="77777777" w:rsidTr="003B6825">
        <w:trPr>
          <w:trHeight w:val="282"/>
        </w:trPr>
        <w:tc>
          <w:tcPr>
            <w:tcW w:w="5480" w:type="dxa"/>
            <w:tcBorders>
              <w:top w:val="nil"/>
              <w:left w:val="nil"/>
              <w:bottom w:val="nil"/>
              <w:right w:val="nil"/>
            </w:tcBorders>
            <w:shd w:val="clear" w:color="auto" w:fill="auto"/>
            <w:noWrap/>
            <w:hideMark/>
          </w:tcPr>
          <w:p w14:paraId="32E7616F" w14:textId="77777777" w:rsidR="00D61AE6" w:rsidRPr="00926B93" w:rsidRDefault="00D61AE6" w:rsidP="007949F7">
            <w:pPr>
              <w:spacing w:line="360" w:lineRule="auto"/>
              <w:rPr>
                <w:i/>
                <w:iCs/>
                <w:color w:val="000000"/>
              </w:rPr>
            </w:pPr>
            <w:r w:rsidRPr="00926B93">
              <w:rPr>
                <w:i/>
                <w:iCs/>
                <w:color w:val="000000"/>
              </w:rPr>
              <w:t>Productos Medicinales para uso Humano</w:t>
            </w:r>
          </w:p>
        </w:tc>
        <w:tc>
          <w:tcPr>
            <w:tcW w:w="1481" w:type="dxa"/>
            <w:tcBorders>
              <w:top w:val="nil"/>
              <w:left w:val="nil"/>
              <w:bottom w:val="nil"/>
              <w:right w:val="nil"/>
            </w:tcBorders>
            <w:shd w:val="clear" w:color="auto" w:fill="auto"/>
            <w:noWrap/>
          </w:tcPr>
          <w:p w14:paraId="32E76170" w14:textId="29688D7B" w:rsidR="00D61AE6" w:rsidRPr="00926B93" w:rsidRDefault="001573AC" w:rsidP="007949F7">
            <w:pPr>
              <w:spacing w:line="360" w:lineRule="auto"/>
              <w:jc w:val="right"/>
              <w:rPr>
                <w:i/>
                <w:color w:val="000000"/>
              </w:rPr>
            </w:pPr>
            <w:r w:rsidRPr="00926B93">
              <w:rPr>
                <w:i/>
                <w:color w:val="000000"/>
              </w:rPr>
              <w:t>93,626.48</w:t>
            </w:r>
          </w:p>
        </w:tc>
        <w:tc>
          <w:tcPr>
            <w:tcW w:w="1418" w:type="dxa"/>
            <w:tcBorders>
              <w:top w:val="nil"/>
              <w:left w:val="nil"/>
              <w:bottom w:val="nil"/>
              <w:right w:val="nil"/>
            </w:tcBorders>
          </w:tcPr>
          <w:p w14:paraId="65F45867" w14:textId="7477A7DB" w:rsidR="00D61AE6" w:rsidRPr="00926B93" w:rsidRDefault="00D61AE6" w:rsidP="007949F7">
            <w:pPr>
              <w:spacing w:line="360" w:lineRule="auto"/>
              <w:jc w:val="right"/>
              <w:rPr>
                <w:i/>
                <w:color w:val="000000"/>
              </w:rPr>
            </w:pPr>
            <w:r w:rsidRPr="00926B93">
              <w:rPr>
                <w:i/>
                <w:color w:val="000000"/>
              </w:rPr>
              <w:t>192,462.20</w:t>
            </w:r>
          </w:p>
        </w:tc>
        <w:tc>
          <w:tcPr>
            <w:tcW w:w="1418" w:type="dxa"/>
            <w:tcBorders>
              <w:top w:val="nil"/>
              <w:left w:val="nil"/>
              <w:bottom w:val="nil"/>
              <w:right w:val="nil"/>
            </w:tcBorders>
            <w:shd w:val="clear" w:color="auto" w:fill="auto"/>
            <w:noWrap/>
            <w:vAlign w:val="center"/>
          </w:tcPr>
          <w:p w14:paraId="32E76171" w14:textId="7FCFDB78" w:rsidR="00D61AE6" w:rsidRPr="00D61AE6" w:rsidRDefault="00D61AE6" w:rsidP="007949F7">
            <w:pPr>
              <w:spacing w:line="360" w:lineRule="auto"/>
              <w:jc w:val="right"/>
              <w:rPr>
                <w:iCs/>
                <w:color w:val="000000"/>
              </w:rPr>
            </w:pPr>
          </w:p>
        </w:tc>
      </w:tr>
      <w:tr w:rsidR="00D61AE6" w:rsidRPr="00D61AE6" w14:paraId="32E76176" w14:textId="77777777" w:rsidTr="003B6825">
        <w:trPr>
          <w:trHeight w:val="282"/>
        </w:trPr>
        <w:tc>
          <w:tcPr>
            <w:tcW w:w="5480" w:type="dxa"/>
            <w:tcBorders>
              <w:top w:val="nil"/>
              <w:left w:val="nil"/>
              <w:bottom w:val="nil"/>
              <w:right w:val="nil"/>
            </w:tcBorders>
            <w:shd w:val="clear" w:color="auto" w:fill="auto"/>
            <w:noWrap/>
            <w:hideMark/>
          </w:tcPr>
          <w:p w14:paraId="32E76173" w14:textId="77777777" w:rsidR="00D61AE6" w:rsidRPr="00926B93" w:rsidRDefault="00D61AE6" w:rsidP="007949F7">
            <w:pPr>
              <w:spacing w:line="360" w:lineRule="auto"/>
              <w:rPr>
                <w:i/>
                <w:iCs/>
                <w:color w:val="000000"/>
              </w:rPr>
            </w:pPr>
            <w:r w:rsidRPr="00926B93">
              <w:rPr>
                <w:i/>
                <w:iCs/>
                <w:color w:val="000000"/>
              </w:rPr>
              <w:t>Llantas y Neumáticos</w:t>
            </w:r>
          </w:p>
        </w:tc>
        <w:tc>
          <w:tcPr>
            <w:tcW w:w="1481" w:type="dxa"/>
            <w:tcBorders>
              <w:top w:val="nil"/>
              <w:left w:val="nil"/>
              <w:bottom w:val="nil"/>
              <w:right w:val="nil"/>
            </w:tcBorders>
            <w:shd w:val="clear" w:color="auto" w:fill="auto"/>
            <w:noWrap/>
          </w:tcPr>
          <w:p w14:paraId="32E76174" w14:textId="4CA2D510" w:rsidR="00D61AE6" w:rsidRPr="00926B93" w:rsidRDefault="001573AC" w:rsidP="007949F7">
            <w:pPr>
              <w:spacing w:line="360" w:lineRule="auto"/>
              <w:jc w:val="right"/>
              <w:rPr>
                <w:i/>
                <w:color w:val="000000"/>
              </w:rPr>
            </w:pPr>
            <w:r w:rsidRPr="00926B93">
              <w:rPr>
                <w:i/>
                <w:color w:val="000000"/>
              </w:rPr>
              <w:t>151,445.83</w:t>
            </w:r>
          </w:p>
        </w:tc>
        <w:tc>
          <w:tcPr>
            <w:tcW w:w="1418" w:type="dxa"/>
            <w:tcBorders>
              <w:top w:val="nil"/>
              <w:left w:val="nil"/>
              <w:bottom w:val="nil"/>
              <w:right w:val="nil"/>
            </w:tcBorders>
          </w:tcPr>
          <w:p w14:paraId="25894362" w14:textId="2D6F7532" w:rsidR="00D61AE6" w:rsidRPr="00926B93" w:rsidRDefault="00D61AE6" w:rsidP="007949F7">
            <w:pPr>
              <w:spacing w:line="360" w:lineRule="auto"/>
              <w:jc w:val="right"/>
              <w:rPr>
                <w:i/>
                <w:color w:val="000000"/>
              </w:rPr>
            </w:pPr>
            <w:r w:rsidRPr="00926B93">
              <w:rPr>
                <w:i/>
                <w:color w:val="000000"/>
              </w:rPr>
              <w:t>49,245.84</w:t>
            </w:r>
          </w:p>
        </w:tc>
        <w:tc>
          <w:tcPr>
            <w:tcW w:w="1418" w:type="dxa"/>
            <w:tcBorders>
              <w:top w:val="nil"/>
              <w:left w:val="nil"/>
              <w:bottom w:val="nil"/>
              <w:right w:val="nil"/>
            </w:tcBorders>
            <w:shd w:val="clear" w:color="auto" w:fill="auto"/>
            <w:noWrap/>
            <w:vAlign w:val="center"/>
          </w:tcPr>
          <w:p w14:paraId="32E76175" w14:textId="64237571" w:rsidR="00D61AE6" w:rsidRPr="00D61AE6" w:rsidRDefault="00D61AE6" w:rsidP="007949F7">
            <w:pPr>
              <w:spacing w:line="360" w:lineRule="auto"/>
              <w:jc w:val="right"/>
              <w:rPr>
                <w:iCs/>
                <w:color w:val="000000"/>
              </w:rPr>
            </w:pPr>
          </w:p>
        </w:tc>
      </w:tr>
      <w:tr w:rsidR="00D61AE6" w:rsidRPr="00D61AE6" w14:paraId="32E7617A" w14:textId="77777777" w:rsidTr="003B6825">
        <w:trPr>
          <w:trHeight w:val="282"/>
        </w:trPr>
        <w:tc>
          <w:tcPr>
            <w:tcW w:w="5480" w:type="dxa"/>
            <w:tcBorders>
              <w:top w:val="nil"/>
              <w:left w:val="nil"/>
              <w:bottom w:val="nil"/>
              <w:right w:val="nil"/>
            </w:tcBorders>
            <w:shd w:val="clear" w:color="auto" w:fill="auto"/>
            <w:noWrap/>
            <w:hideMark/>
          </w:tcPr>
          <w:p w14:paraId="32E76177" w14:textId="77777777" w:rsidR="00D61AE6" w:rsidRPr="00926B93" w:rsidRDefault="00D61AE6" w:rsidP="007949F7">
            <w:pPr>
              <w:spacing w:line="360" w:lineRule="auto"/>
              <w:rPr>
                <w:i/>
                <w:iCs/>
                <w:color w:val="000000"/>
              </w:rPr>
            </w:pPr>
            <w:r w:rsidRPr="00926B93">
              <w:rPr>
                <w:i/>
                <w:iCs/>
                <w:color w:val="000000"/>
              </w:rPr>
              <w:t>Artículos de Plásticos</w:t>
            </w:r>
          </w:p>
        </w:tc>
        <w:tc>
          <w:tcPr>
            <w:tcW w:w="1481" w:type="dxa"/>
            <w:tcBorders>
              <w:top w:val="nil"/>
              <w:left w:val="nil"/>
              <w:bottom w:val="nil"/>
              <w:right w:val="nil"/>
            </w:tcBorders>
            <w:shd w:val="clear" w:color="auto" w:fill="auto"/>
            <w:noWrap/>
          </w:tcPr>
          <w:p w14:paraId="32E76178" w14:textId="4C5E0EE8" w:rsidR="00D61AE6" w:rsidRPr="00926B93" w:rsidRDefault="001573AC" w:rsidP="007949F7">
            <w:pPr>
              <w:spacing w:line="360" w:lineRule="auto"/>
              <w:jc w:val="right"/>
              <w:rPr>
                <w:i/>
                <w:color w:val="000000"/>
              </w:rPr>
            </w:pPr>
            <w:r w:rsidRPr="00926B93">
              <w:rPr>
                <w:i/>
                <w:color w:val="000000"/>
              </w:rPr>
              <w:t>163,626.45</w:t>
            </w:r>
          </w:p>
        </w:tc>
        <w:tc>
          <w:tcPr>
            <w:tcW w:w="1418" w:type="dxa"/>
            <w:tcBorders>
              <w:top w:val="nil"/>
              <w:left w:val="nil"/>
              <w:bottom w:val="nil"/>
              <w:right w:val="nil"/>
            </w:tcBorders>
          </w:tcPr>
          <w:p w14:paraId="35C8922A" w14:textId="27EFC3BA" w:rsidR="00D61AE6" w:rsidRPr="00926B93" w:rsidRDefault="00D61AE6" w:rsidP="007949F7">
            <w:pPr>
              <w:spacing w:line="360" w:lineRule="auto"/>
              <w:jc w:val="right"/>
              <w:rPr>
                <w:i/>
                <w:color w:val="000000"/>
              </w:rPr>
            </w:pPr>
            <w:r w:rsidRPr="00926B93">
              <w:rPr>
                <w:i/>
                <w:color w:val="000000"/>
              </w:rPr>
              <w:t>160,982.19</w:t>
            </w:r>
          </w:p>
        </w:tc>
        <w:tc>
          <w:tcPr>
            <w:tcW w:w="1418" w:type="dxa"/>
            <w:tcBorders>
              <w:top w:val="nil"/>
              <w:left w:val="nil"/>
              <w:bottom w:val="nil"/>
              <w:right w:val="nil"/>
            </w:tcBorders>
            <w:shd w:val="clear" w:color="auto" w:fill="auto"/>
            <w:noWrap/>
            <w:vAlign w:val="center"/>
          </w:tcPr>
          <w:p w14:paraId="32E76179" w14:textId="3F5D4ACA" w:rsidR="00D61AE6" w:rsidRPr="00D61AE6" w:rsidRDefault="00D61AE6" w:rsidP="007949F7">
            <w:pPr>
              <w:spacing w:line="360" w:lineRule="auto"/>
              <w:jc w:val="right"/>
              <w:rPr>
                <w:iCs/>
                <w:color w:val="000000"/>
              </w:rPr>
            </w:pPr>
          </w:p>
        </w:tc>
      </w:tr>
      <w:tr w:rsidR="00D61AE6" w:rsidRPr="00D61AE6" w14:paraId="32E7617E" w14:textId="77777777" w:rsidTr="003B6825">
        <w:trPr>
          <w:trHeight w:val="282"/>
        </w:trPr>
        <w:tc>
          <w:tcPr>
            <w:tcW w:w="5480" w:type="dxa"/>
            <w:tcBorders>
              <w:top w:val="nil"/>
              <w:left w:val="nil"/>
              <w:bottom w:val="nil"/>
              <w:right w:val="nil"/>
            </w:tcBorders>
            <w:shd w:val="clear" w:color="auto" w:fill="auto"/>
            <w:noWrap/>
            <w:hideMark/>
          </w:tcPr>
          <w:p w14:paraId="32E7617B" w14:textId="77777777" w:rsidR="00D61AE6" w:rsidRPr="00926B93" w:rsidRDefault="00D61AE6" w:rsidP="007949F7">
            <w:pPr>
              <w:spacing w:line="360" w:lineRule="auto"/>
              <w:rPr>
                <w:i/>
                <w:iCs/>
                <w:color w:val="000000"/>
              </w:rPr>
            </w:pPr>
            <w:r w:rsidRPr="00926B93">
              <w:rPr>
                <w:i/>
                <w:iCs/>
                <w:color w:val="000000"/>
              </w:rPr>
              <w:t>Estructuras Metálicas Acabadas</w:t>
            </w:r>
          </w:p>
        </w:tc>
        <w:tc>
          <w:tcPr>
            <w:tcW w:w="1481" w:type="dxa"/>
            <w:tcBorders>
              <w:top w:val="nil"/>
              <w:left w:val="nil"/>
              <w:bottom w:val="nil"/>
              <w:right w:val="nil"/>
            </w:tcBorders>
            <w:shd w:val="clear" w:color="auto" w:fill="auto"/>
            <w:noWrap/>
          </w:tcPr>
          <w:p w14:paraId="32E7617C" w14:textId="071DF06B" w:rsidR="00D61AE6" w:rsidRPr="00926B93" w:rsidRDefault="00930C04" w:rsidP="007949F7">
            <w:pPr>
              <w:spacing w:line="360" w:lineRule="auto"/>
              <w:jc w:val="right"/>
              <w:rPr>
                <w:i/>
                <w:color w:val="000000"/>
              </w:rPr>
            </w:pPr>
            <w:r w:rsidRPr="00926B93">
              <w:rPr>
                <w:i/>
                <w:color w:val="000000"/>
              </w:rPr>
              <w:t>0.00</w:t>
            </w:r>
          </w:p>
        </w:tc>
        <w:tc>
          <w:tcPr>
            <w:tcW w:w="1418" w:type="dxa"/>
            <w:tcBorders>
              <w:top w:val="nil"/>
              <w:left w:val="nil"/>
              <w:bottom w:val="nil"/>
              <w:right w:val="nil"/>
            </w:tcBorders>
          </w:tcPr>
          <w:p w14:paraId="410B2D65" w14:textId="343471C4" w:rsidR="00D61AE6" w:rsidRPr="00926B93" w:rsidRDefault="00D61AE6" w:rsidP="007949F7">
            <w:pPr>
              <w:spacing w:line="360" w:lineRule="auto"/>
              <w:jc w:val="right"/>
              <w:rPr>
                <w:i/>
                <w:color w:val="000000"/>
              </w:rPr>
            </w:pPr>
            <w:r w:rsidRPr="00926B93">
              <w:rPr>
                <w:i/>
                <w:color w:val="000000"/>
              </w:rPr>
              <w:t>471.00</w:t>
            </w:r>
          </w:p>
        </w:tc>
        <w:tc>
          <w:tcPr>
            <w:tcW w:w="1418" w:type="dxa"/>
            <w:tcBorders>
              <w:top w:val="nil"/>
              <w:left w:val="nil"/>
              <w:bottom w:val="nil"/>
              <w:right w:val="nil"/>
            </w:tcBorders>
            <w:shd w:val="clear" w:color="auto" w:fill="auto"/>
            <w:noWrap/>
            <w:vAlign w:val="center"/>
          </w:tcPr>
          <w:p w14:paraId="32E7617D" w14:textId="790AFFF2" w:rsidR="00D61AE6" w:rsidRPr="00D61AE6" w:rsidRDefault="00D61AE6" w:rsidP="007949F7">
            <w:pPr>
              <w:spacing w:line="360" w:lineRule="auto"/>
              <w:jc w:val="right"/>
              <w:rPr>
                <w:iCs/>
                <w:color w:val="000000"/>
              </w:rPr>
            </w:pPr>
          </w:p>
        </w:tc>
      </w:tr>
      <w:tr w:rsidR="00D61AE6" w:rsidRPr="00D61AE6" w14:paraId="32E76182" w14:textId="77777777" w:rsidTr="003B6825">
        <w:trPr>
          <w:trHeight w:val="282"/>
        </w:trPr>
        <w:tc>
          <w:tcPr>
            <w:tcW w:w="5480" w:type="dxa"/>
            <w:tcBorders>
              <w:top w:val="nil"/>
              <w:left w:val="nil"/>
              <w:bottom w:val="nil"/>
              <w:right w:val="nil"/>
            </w:tcBorders>
            <w:shd w:val="clear" w:color="auto" w:fill="auto"/>
            <w:noWrap/>
            <w:hideMark/>
          </w:tcPr>
          <w:p w14:paraId="32E7617F" w14:textId="77777777" w:rsidR="00D61AE6" w:rsidRPr="00926B93" w:rsidRDefault="00D61AE6" w:rsidP="007949F7">
            <w:pPr>
              <w:spacing w:line="360" w:lineRule="auto"/>
              <w:rPr>
                <w:i/>
                <w:iCs/>
                <w:color w:val="000000"/>
              </w:rPr>
            </w:pPr>
            <w:r w:rsidRPr="00926B93">
              <w:rPr>
                <w:i/>
                <w:iCs/>
                <w:color w:val="000000"/>
              </w:rPr>
              <w:t>Accesorios de Metal</w:t>
            </w:r>
          </w:p>
        </w:tc>
        <w:tc>
          <w:tcPr>
            <w:tcW w:w="1481" w:type="dxa"/>
            <w:tcBorders>
              <w:top w:val="nil"/>
              <w:left w:val="nil"/>
              <w:bottom w:val="nil"/>
              <w:right w:val="nil"/>
            </w:tcBorders>
            <w:shd w:val="clear" w:color="auto" w:fill="auto"/>
            <w:noWrap/>
          </w:tcPr>
          <w:p w14:paraId="32E76180" w14:textId="217D123D" w:rsidR="00D61AE6" w:rsidRPr="00926B93" w:rsidRDefault="00930C04" w:rsidP="007949F7">
            <w:pPr>
              <w:spacing w:line="360" w:lineRule="auto"/>
              <w:jc w:val="right"/>
              <w:rPr>
                <w:i/>
                <w:color w:val="000000"/>
              </w:rPr>
            </w:pPr>
            <w:r w:rsidRPr="00926B93">
              <w:rPr>
                <w:i/>
                <w:color w:val="000000"/>
              </w:rPr>
              <w:t>10,826.03</w:t>
            </w:r>
          </w:p>
        </w:tc>
        <w:tc>
          <w:tcPr>
            <w:tcW w:w="1418" w:type="dxa"/>
            <w:tcBorders>
              <w:top w:val="nil"/>
              <w:left w:val="nil"/>
              <w:bottom w:val="nil"/>
              <w:right w:val="nil"/>
            </w:tcBorders>
          </w:tcPr>
          <w:p w14:paraId="518DD58B" w14:textId="5AFD32B6" w:rsidR="00D61AE6" w:rsidRPr="00926B93" w:rsidRDefault="00D61AE6" w:rsidP="007949F7">
            <w:pPr>
              <w:spacing w:line="360" w:lineRule="auto"/>
              <w:jc w:val="right"/>
              <w:rPr>
                <w:i/>
                <w:color w:val="000000"/>
              </w:rPr>
            </w:pPr>
            <w:r w:rsidRPr="00926B93">
              <w:rPr>
                <w:i/>
                <w:color w:val="000000"/>
              </w:rPr>
              <w:t>10,949.78</w:t>
            </w:r>
          </w:p>
        </w:tc>
        <w:tc>
          <w:tcPr>
            <w:tcW w:w="1418" w:type="dxa"/>
            <w:tcBorders>
              <w:top w:val="nil"/>
              <w:left w:val="nil"/>
              <w:bottom w:val="nil"/>
              <w:right w:val="nil"/>
            </w:tcBorders>
            <w:shd w:val="clear" w:color="auto" w:fill="auto"/>
            <w:noWrap/>
            <w:vAlign w:val="center"/>
          </w:tcPr>
          <w:p w14:paraId="32E76181" w14:textId="3609DB94" w:rsidR="00D61AE6" w:rsidRPr="00D61AE6" w:rsidRDefault="00D61AE6" w:rsidP="007949F7">
            <w:pPr>
              <w:spacing w:line="360" w:lineRule="auto"/>
              <w:jc w:val="right"/>
              <w:rPr>
                <w:iCs/>
                <w:color w:val="000000"/>
              </w:rPr>
            </w:pPr>
          </w:p>
        </w:tc>
      </w:tr>
      <w:tr w:rsidR="00D61AE6" w:rsidRPr="00D61AE6" w14:paraId="32E76186" w14:textId="77777777" w:rsidTr="003B6825">
        <w:trPr>
          <w:trHeight w:val="282"/>
        </w:trPr>
        <w:tc>
          <w:tcPr>
            <w:tcW w:w="5480" w:type="dxa"/>
            <w:tcBorders>
              <w:top w:val="nil"/>
              <w:left w:val="nil"/>
              <w:bottom w:val="nil"/>
              <w:right w:val="nil"/>
            </w:tcBorders>
            <w:shd w:val="clear" w:color="auto" w:fill="auto"/>
            <w:noWrap/>
            <w:hideMark/>
          </w:tcPr>
          <w:p w14:paraId="32E76183" w14:textId="77777777" w:rsidR="00D61AE6" w:rsidRPr="00926B93" w:rsidRDefault="00D61AE6" w:rsidP="007949F7">
            <w:pPr>
              <w:spacing w:line="360" w:lineRule="auto"/>
              <w:rPr>
                <w:i/>
                <w:iCs/>
                <w:color w:val="000000"/>
              </w:rPr>
            </w:pPr>
            <w:r w:rsidRPr="00926B93">
              <w:rPr>
                <w:i/>
                <w:iCs/>
                <w:color w:val="000000"/>
              </w:rPr>
              <w:t>Productos de Cemento</w:t>
            </w:r>
          </w:p>
        </w:tc>
        <w:tc>
          <w:tcPr>
            <w:tcW w:w="1481" w:type="dxa"/>
            <w:tcBorders>
              <w:top w:val="nil"/>
              <w:left w:val="nil"/>
              <w:bottom w:val="nil"/>
              <w:right w:val="nil"/>
            </w:tcBorders>
            <w:shd w:val="clear" w:color="auto" w:fill="auto"/>
            <w:noWrap/>
          </w:tcPr>
          <w:p w14:paraId="32E76184" w14:textId="24F35EE1" w:rsidR="00D61AE6" w:rsidRPr="00926B93" w:rsidRDefault="008C2A9E" w:rsidP="007949F7">
            <w:pPr>
              <w:spacing w:line="360" w:lineRule="auto"/>
              <w:jc w:val="right"/>
              <w:rPr>
                <w:i/>
                <w:color w:val="000000"/>
              </w:rPr>
            </w:pPr>
            <w:r w:rsidRPr="00926B93">
              <w:rPr>
                <w:i/>
                <w:color w:val="000000"/>
              </w:rPr>
              <w:t>0.00</w:t>
            </w:r>
          </w:p>
        </w:tc>
        <w:tc>
          <w:tcPr>
            <w:tcW w:w="1418" w:type="dxa"/>
            <w:tcBorders>
              <w:top w:val="nil"/>
              <w:left w:val="nil"/>
              <w:bottom w:val="nil"/>
              <w:right w:val="nil"/>
            </w:tcBorders>
          </w:tcPr>
          <w:p w14:paraId="3B46536A" w14:textId="3E8F4709" w:rsidR="00D61AE6" w:rsidRPr="00926B93" w:rsidRDefault="00D61AE6" w:rsidP="007949F7">
            <w:pPr>
              <w:spacing w:line="360" w:lineRule="auto"/>
              <w:jc w:val="right"/>
              <w:rPr>
                <w:i/>
                <w:color w:val="000000"/>
              </w:rPr>
            </w:pPr>
            <w:r w:rsidRPr="00926B93">
              <w:rPr>
                <w:i/>
                <w:color w:val="000000"/>
              </w:rPr>
              <w:t>2,538.01</w:t>
            </w:r>
          </w:p>
        </w:tc>
        <w:tc>
          <w:tcPr>
            <w:tcW w:w="1418" w:type="dxa"/>
            <w:tcBorders>
              <w:top w:val="nil"/>
              <w:left w:val="nil"/>
              <w:bottom w:val="nil"/>
              <w:right w:val="nil"/>
            </w:tcBorders>
            <w:shd w:val="clear" w:color="auto" w:fill="auto"/>
            <w:noWrap/>
            <w:vAlign w:val="center"/>
          </w:tcPr>
          <w:p w14:paraId="32E76185" w14:textId="33398F90" w:rsidR="00D61AE6" w:rsidRPr="00D61AE6" w:rsidRDefault="00D61AE6" w:rsidP="007949F7">
            <w:pPr>
              <w:spacing w:line="360" w:lineRule="auto"/>
              <w:jc w:val="right"/>
              <w:rPr>
                <w:iCs/>
                <w:color w:val="000000"/>
              </w:rPr>
            </w:pPr>
          </w:p>
        </w:tc>
      </w:tr>
      <w:tr w:rsidR="00D61AE6" w:rsidRPr="00D61AE6" w14:paraId="32E7618A" w14:textId="77777777" w:rsidTr="003B6825">
        <w:trPr>
          <w:trHeight w:val="282"/>
        </w:trPr>
        <w:tc>
          <w:tcPr>
            <w:tcW w:w="5480" w:type="dxa"/>
            <w:tcBorders>
              <w:top w:val="nil"/>
              <w:left w:val="nil"/>
              <w:bottom w:val="nil"/>
              <w:right w:val="nil"/>
            </w:tcBorders>
            <w:shd w:val="clear" w:color="auto" w:fill="auto"/>
            <w:noWrap/>
            <w:hideMark/>
          </w:tcPr>
          <w:p w14:paraId="32E76187" w14:textId="77777777" w:rsidR="00D61AE6" w:rsidRPr="00926B93" w:rsidRDefault="00D61AE6" w:rsidP="007949F7">
            <w:pPr>
              <w:spacing w:line="360" w:lineRule="auto"/>
              <w:rPr>
                <w:i/>
                <w:iCs/>
                <w:color w:val="000000"/>
              </w:rPr>
            </w:pPr>
            <w:r w:rsidRPr="00926B93">
              <w:rPr>
                <w:i/>
                <w:iCs/>
                <w:color w:val="000000"/>
              </w:rPr>
              <w:t>Otros Repuestos y accesorios menores</w:t>
            </w:r>
          </w:p>
        </w:tc>
        <w:tc>
          <w:tcPr>
            <w:tcW w:w="1481" w:type="dxa"/>
            <w:tcBorders>
              <w:top w:val="nil"/>
              <w:left w:val="nil"/>
              <w:bottom w:val="nil"/>
              <w:right w:val="nil"/>
            </w:tcBorders>
            <w:shd w:val="clear" w:color="auto" w:fill="auto"/>
            <w:noWrap/>
          </w:tcPr>
          <w:p w14:paraId="32E76188" w14:textId="212DA1A4" w:rsidR="00D61AE6" w:rsidRPr="00926B93" w:rsidRDefault="008C2A9E" w:rsidP="007949F7">
            <w:pPr>
              <w:spacing w:line="360" w:lineRule="auto"/>
              <w:jc w:val="right"/>
              <w:rPr>
                <w:i/>
                <w:color w:val="000000"/>
              </w:rPr>
            </w:pPr>
            <w:r w:rsidRPr="00926B93">
              <w:rPr>
                <w:i/>
                <w:color w:val="000000"/>
              </w:rPr>
              <w:t>41,440.16</w:t>
            </w:r>
          </w:p>
        </w:tc>
        <w:tc>
          <w:tcPr>
            <w:tcW w:w="1418" w:type="dxa"/>
            <w:tcBorders>
              <w:top w:val="nil"/>
              <w:left w:val="nil"/>
              <w:bottom w:val="nil"/>
              <w:right w:val="nil"/>
            </w:tcBorders>
          </w:tcPr>
          <w:p w14:paraId="730B9F3F" w14:textId="19A4F2B9" w:rsidR="00D61AE6" w:rsidRPr="00926B93" w:rsidRDefault="00D61AE6" w:rsidP="007949F7">
            <w:pPr>
              <w:spacing w:line="360" w:lineRule="auto"/>
              <w:jc w:val="right"/>
              <w:rPr>
                <w:i/>
                <w:color w:val="000000"/>
              </w:rPr>
            </w:pPr>
            <w:r w:rsidRPr="00926B93">
              <w:rPr>
                <w:i/>
                <w:color w:val="000000"/>
              </w:rPr>
              <w:t>184,051.36</w:t>
            </w:r>
          </w:p>
        </w:tc>
        <w:tc>
          <w:tcPr>
            <w:tcW w:w="1418" w:type="dxa"/>
            <w:tcBorders>
              <w:top w:val="nil"/>
              <w:left w:val="nil"/>
              <w:bottom w:val="nil"/>
              <w:right w:val="nil"/>
            </w:tcBorders>
            <w:shd w:val="clear" w:color="auto" w:fill="auto"/>
            <w:noWrap/>
            <w:vAlign w:val="center"/>
          </w:tcPr>
          <w:p w14:paraId="32E76189" w14:textId="42455623" w:rsidR="00D61AE6" w:rsidRPr="00D61AE6" w:rsidRDefault="00D61AE6" w:rsidP="007949F7">
            <w:pPr>
              <w:spacing w:line="360" w:lineRule="auto"/>
              <w:jc w:val="right"/>
              <w:rPr>
                <w:iCs/>
                <w:color w:val="000000"/>
              </w:rPr>
            </w:pPr>
          </w:p>
        </w:tc>
      </w:tr>
      <w:tr w:rsidR="00D61AE6" w:rsidRPr="00D61AE6" w14:paraId="32E7618E" w14:textId="77777777" w:rsidTr="003B6825">
        <w:trPr>
          <w:trHeight w:val="282"/>
        </w:trPr>
        <w:tc>
          <w:tcPr>
            <w:tcW w:w="5480" w:type="dxa"/>
            <w:tcBorders>
              <w:top w:val="nil"/>
              <w:left w:val="nil"/>
              <w:bottom w:val="nil"/>
              <w:right w:val="nil"/>
            </w:tcBorders>
            <w:shd w:val="clear" w:color="auto" w:fill="auto"/>
            <w:noWrap/>
            <w:hideMark/>
          </w:tcPr>
          <w:p w14:paraId="32E7618B" w14:textId="77777777" w:rsidR="00D61AE6" w:rsidRPr="00926B93" w:rsidRDefault="00D61AE6" w:rsidP="007949F7">
            <w:pPr>
              <w:spacing w:line="360" w:lineRule="auto"/>
              <w:rPr>
                <w:i/>
                <w:iCs/>
                <w:color w:val="000000"/>
              </w:rPr>
            </w:pPr>
            <w:r w:rsidRPr="00926B93">
              <w:rPr>
                <w:i/>
                <w:iCs/>
                <w:color w:val="000000"/>
              </w:rPr>
              <w:t>Gasolina</w:t>
            </w:r>
          </w:p>
        </w:tc>
        <w:tc>
          <w:tcPr>
            <w:tcW w:w="1481" w:type="dxa"/>
            <w:tcBorders>
              <w:top w:val="nil"/>
              <w:left w:val="nil"/>
              <w:bottom w:val="nil"/>
              <w:right w:val="nil"/>
            </w:tcBorders>
            <w:shd w:val="clear" w:color="auto" w:fill="auto"/>
            <w:noWrap/>
          </w:tcPr>
          <w:p w14:paraId="32E7618C" w14:textId="2A4B0159" w:rsidR="00D61AE6" w:rsidRPr="00926B93" w:rsidRDefault="008C2A9E" w:rsidP="007949F7">
            <w:pPr>
              <w:spacing w:line="360" w:lineRule="auto"/>
              <w:jc w:val="right"/>
              <w:rPr>
                <w:i/>
                <w:color w:val="000000"/>
              </w:rPr>
            </w:pPr>
            <w:r w:rsidRPr="00926B93">
              <w:rPr>
                <w:i/>
                <w:color w:val="000000"/>
              </w:rPr>
              <w:t>5,795,191.69</w:t>
            </w:r>
          </w:p>
        </w:tc>
        <w:tc>
          <w:tcPr>
            <w:tcW w:w="1418" w:type="dxa"/>
            <w:tcBorders>
              <w:top w:val="nil"/>
              <w:left w:val="nil"/>
              <w:bottom w:val="nil"/>
              <w:right w:val="nil"/>
            </w:tcBorders>
          </w:tcPr>
          <w:p w14:paraId="47157498" w14:textId="68005D80" w:rsidR="00D61AE6" w:rsidRPr="00926B93" w:rsidRDefault="00D61AE6" w:rsidP="007949F7">
            <w:pPr>
              <w:spacing w:line="360" w:lineRule="auto"/>
              <w:jc w:val="right"/>
              <w:rPr>
                <w:i/>
                <w:color w:val="000000"/>
              </w:rPr>
            </w:pPr>
            <w:r w:rsidRPr="00926B93">
              <w:rPr>
                <w:i/>
                <w:color w:val="000000"/>
              </w:rPr>
              <w:t>5,516,424.04</w:t>
            </w:r>
          </w:p>
        </w:tc>
        <w:tc>
          <w:tcPr>
            <w:tcW w:w="1418" w:type="dxa"/>
            <w:tcBorders>
              <w:top w:val="nil"/>
              <w:left w:val="nil"/>
              <w:bottom w:val="nil"/>
              <w:right w:val="nil"/>
            </w:tcBorders>
            <w:shd w:val="clear" w:color="auto" w:fill="auto"/>
            <w:noWrap/>
            <w:vAlign w:val="center"/>
          </w:tcPr>
          <w:p w14:paraId="32E7618D" w14:textId="790659D9" w:rsidR="00D61AE6" w:rsidRPr="00D61AE6" w:rsidRDefault="00D61AE6" w:rsidP="007949F7">
            <w:pPr>
              <w:spacing w:line="360" w:lineRule="auto"/>
              <w:jc w:val="right"/>
              <w:rPr>
                <w:iCs/>
                <w:color w:val="000000"/>
              </w:rPr>
            </w:pPr>
          </w:p>
        </w:tc>
      </w:tr>
      <w:tr w:rsidR="00D61AE6" w:rsidRPr="00D61AE6" w14:paraId="32E76192" w14:textId="77777777" w:rsidTr="003B6825">
        <w:trPr>
          <w:trHeight w:val="282"/>
        </w:trPr>
        <w:tc>
          <w:tcPr>
            <w:tcW w:w="5480" w:type="dxa"/>
            <w:tcBorders>
              <w:top w:val="nil"/>
              <w:left w:val="nil"/>
              <w:bottom w:val="nil"/>
              <w:right w:val="nil"/>
            </w:tcBorders>
            <w:shd w:val="clear" w:color="auto" w:fill="auto"/>
            <w:noWrap/>
            <w:hideMark/>
          </w:tcPr>
          <w:p w14:paraId="32E7618F" w14:textId="77777777" w:rsidR="00D61AE6" w:rsidRPr="00926B93" w:rsidRDefault="00D61AE6" w:rsidP="007949F7">
            <w:pPr>
              <w:spacing w:line="360" w:lineRule="auto"/>
              <w:rPr>
                <w:i/>
                <w:iCs/>
                <w:color w:val="000000"/>
              </w:rPr>
            </w:pPr>
            <w:r w:rsidRPr="00926B93">
              <w:rPr>
                <w:i/>
                <w:iCs/>
                <w:color w:val="000000"/>
              </w:rPr>
              <w:t>Gasoil</w:t>
            </w:r>
          </w:p>
        </w:tc>
        <w:tc>
          <w:tcPr>
            <w:tcW w:w="1481" w:type="dxa"/>
            <w:tcBorders>
              <w:top w:val="nil"/>
              <w:left w:val="nil"/>
              <w:bottom w:val="nil"/>
              <w:right w:val="nil"/>
            </w:tcBorders>
            <w:shd w:val="clear" w:color="auto" w:fill="auto"/>
            <w:noWrap/>
          </w:tcPr>
          <w:p w14:paraId="32E76190" w14:textId="664115CB" w:rsidR="00D61AE6" w:rsidRPr="00926B93" w:rsidRDefault="00B83531" w:rsidP="007949F7">
            <w:pPr>
              <w:spacing w:line="360" w:lineRule="auto"/>
              <w:jc w:val="right"/>
              <w:rPr>
                <w:i/>
                <w:color w:val="000000"/>
              </w:rPr>
            </w:pPr>
            <w:r w:rsidRPr="00926B93">
              <w:rPr>
                <w:i/>
                <w:color w:val="000000"/>
              </w:rPr>
              <w:t>472,900.00</w:t>
            </w:r>
          </w:p>
        </w:tc>
        <w:tc>
          <w:tcPr>
            <w:tcW w:w="1418" w:type="dxa"/>
            <w:tcBorders>
              <w:top w:val="nil"/>
              <w:left w:val="nil"/>
              <w:bottom w:val="nil"/>
              <w:right w:val="nil"/>
            </w:tcBorders>
          </w:tcPr>
          <w:p w14:paraId="0670BAB9" w14:textId="710FDD7A" w:rsidR="00D61AE6" w:rsidRPr="00926B93" w:rsidRDefault="00D61AE6" w:rsidP="007949F7">
            <w:pPr>
              <w:spacing w:line="360" w:lineRule="auto"/>
              <w:jc w:val="right"/>
              <w:rPr>
                <w:i/>
                <w:color w:val="000000"/>
              </w:rPr>
            </w:pPr>
            <w:r w:rsidRPr="00926B93">
              <w:rPr>
                <w:i/>
                <w:color w:val="000000"/>
              </w:rPr>
              <w:t>236,600.00</w:t>
            </w:r>
          </w:p>
        </w:tc>
        <w:tc>
          <w:tcPr>
            <w:tcW w:w="1418" w:type="dxa"/>
            <w:tcBorders>
              <w:top w:val="nil"/>
              <w:left w:val="nil"/>
              <w:bottom w:val="nil"/>
              <w:right w:val="nil"/>
            </w:tcBorders>
            <w:shd w:val="clear" w:color="auto" w:fill="auto"/>
            <w:noWrap/>
            <w:vAlign w:val="center"/>
          </w:tcPr>
          <w:p w14:paraId="32E76191" w14:textId="03B1D192" w:rsidR="00D61AE6" w:rsidRPr="00D61AE6" w:rsidRDefault="00D61AE6" w:rsidP="007949F7">
            <w:pPr>
              <w:spacing w:line="360" w:lineRule="auto"/>
              <w:jc w:val="right"/>
              <w:rPr>
                <w:iCs/>
                <w:color w:val="000000"/>
              </w:rPr>
            </w:pPr>
          </w:p>
        </w:tc>
      </w:tr>
      <w:tr w:rsidR="00D61AE6" w14:paraId="32E76196" w14:textId="77777777" w:rsidTr="003B6825">
        <w:trPr>
          <w:trHeight w:val="282"/>
        </w:trPr>
        <w:tc>
          <w:tcPr>
            <w:tcW w:w="5480" w:type="dxa"/>
            <w:tcBorders>
              <w:top w:val="nil"/>
              <w:left w:val="nil"/>
              <w:bottom w:val="nil"/>
              <w:right w:val="nil"/>
            </w:tcBorders>
            <w:shd w:val="clear" w:color="auto" w:fill="auto"/>
            <w:noWrap/>
            <w:hideMark/>
          </w:tcPr>
          <w:p w14:paraId="32E76193" w14:textId="77777777" w:rsidR="00D61AE6" w:rsidRDefault="00D61AE6" w:rsidP="007949F7">
            <w:pPr>
              <w:spacing w:line="360" w:lineRule="auto"/>
              <w:rPr>
                <w:i/>
                <w:iCs/>
                <w:color w:val="000000"/>
              </w:rPr>
            </w:pPr>
            <w:r>
              <w:rPr>
                <w:i/>
                <w:iCs/>
                <w:color w:val="000000"/>
              </w:rPr>
              <w:t>Aceites y Grasas</w:t>
            </w:r>
          </w:p>
        </w:tc>
        <w:tc>
          <w:tcPr>
            <w:tcW w:w="1481" w:type="dxa"/>
            <w:tcBorders>
              <w:top w:val="nil"/>
              <w:left w:val="nil"/>
              <w:bottom w:val="nil"/>
              <w:right w:val="nil"/>
            </w:tcBorders>
            <w:shd w:val="clear" w:color="auto" w:fill="auto"/>
            <w:noWrap/>
          </w:tcPr>
          <w:p w14:paraId="32E76194" w14:textId="2AC0B4C8" w:rsidR="00D61AE6" w:rsidRPr="00926B93" w:rsidRDefault="00B83531" w:rsidP="007949F7">
            <w:pPr>
              <w:spacing w:line="360" w:lineRule="auto"/>
              <w:jc w:val="right"/>
              <w:rPr>
                <w:i/>
                <w:color w:val="000000"/>
              </w:rPr>
            </w:pPr>
            <w:r w:rsidRPr="00926B93">
              <w:rPr>
                <w:i/>
                <w:color w:val="000000"/>
              </w:rPr>
              <w:t>55,560.35</w:t>
            </w:r>
          </w:p>
        </w:tc>
        <w:tc>
          <w:tcPr>
            <w:tcW w:w="1418" w:type="dxa"/>
            <w:tcBorders>
              <w:top w:val="nil"/>
              <w:left w:val="nil"/>
              <w:bottom w:val="nil"/>
              <w:right w:val="nil"/>
            </w:tcBorders>
          </w:tcPr>
          <w:p w14:paraId="56A4E0DF" w14:textId="08B07355" w:rsidR="00D61AE6" w:rsidRPr="00926B93" w:rsidRDefault="00D61AE6" w:rsidP="007949F7">
            <w:pPr>
              <w:spacing w:line="360" w:lineRule="auto"/>
              <w:jc w:val="right"/>
              <w:rPr>
                <w:i/>
                <w:color w:val="000000"/>
              </w:rPr>
            </w:pPr>
            <w:r w:rsidRPr="00926B93">
              <w:rPr>
                <w:i/>
                <w:color w:val="000000"/>
              </w:rPr>
              <w:t>15,389.11</w:t>
            </w:r>
          </w:p>
        </w:tc>
        <w:tc>
          <w:tcPr>
            <w:tcW w:w="1418" w:type="dxa"/>
            <w:tcBorders>
              <w:top w:val="nil"/>
              <w:left w:val="nil"/>
              <w:bottom w:val="nil"/>
              <w:right w:val="nil"/>
            </w:tcBorders>
            <w:shd w:val="clear" w:color="auto" w:fill="auto"/>
            <w:noWrap/>
            <w:vAlign w:val="center"/>
          </w:tcPr>
          <w:p w14:paraId="32E76195" w14:textId="57C18BB4" w:rsidR="00D61AE6" w:rsidRDefault="00D61AE6" w:rsidP="007949F7">
            <w:pPr>
              <w:spacing w:line="360" w:lineRule="auto"/>
              <w:jc w:val="right"/>
              <w:rPr>
                <w:i/>
                <w:iCs/>
                <w:color w:val="000000"/>
              </w:rPr>
            </w:pPr>
          </w:p>
        </w:tc>
      </w:tr>
      <w:tr w:rsidR="00D61AE6" w14:paraId="32E7619A" w14:textId="77777777" w:rsidTr="003B6825">
        <w:trPr>
          <w:trHeight w:val="282"/>
        </w:trPr>
        <w:tc>
          <w:tcPr>
            <w:tcW w:w="5480" w:type="dxa"/>
            <w:tcBorders>
              <w:top w:val="nil"/>
              <w:left w:val="nil"/>
              <w:bottom w:val="nil"/>
              <w:right w:val="nil"/>
            </w:tcBorders>
            <w:shd w:val="clear" w:color="auto" w:fill="auto"/>
            <w:noWrap/>
            <w:hideMark/>
          </w:tcPr>
          <w:p w14:paraId="32E76197" w14:textId="77777777" w:rsidR="00D61AE6" w:rsidRDefault="00D61AE6" w:rsidP="007949F7">
            <w:pPr>
              <w:spacing w:line="360" w:lineRule="auto"/>
              <w:rPr>
                <w:i/>
                <w:iCs/>
                <w:color w:val="000000"/>
              </w:rPr>
            </w:pPr>
            <w:r>
              <w:rPr>
                <w:i/>
                <w:iCs/>
                <w:color w:val="000000"/>
              </w:rPr>
              <w:t xml:space="preserve">Productos Químicos de uso Personal </w:t>
            </w:r>
          </w:p>
        </w:tc>
        <w:tc>
          <w:tcPr>
            <w:tcW w:w="1481" w:type="dxa"/>
            <w:tcBorders>
              <w:top w:val="nil"/>
              <w:left w:val="nil"/>
              <w:bottom w:val="nil"/>
              <w:right w:val="nil"/>
            </w:tcBorders>
            <w:shd w:val="clear" w:color="auto" w:fill="auto"/>
            <w:noWrap/>
          </w:tcPr>
          <w:p w14:paraId="32E76198" w14:textId="15D62427" w:rsidR="00D61AE6" w:rsidRPr="00926B93" w:rsidRDefault="00B83531" w:rsidP="007949F7">
            <w:pPr>
              <w:spacing w:line="360" w:lineRule="auto"/>
              <w:jc w:val="right"/>
              <w:rPr>
                <w:i/>
                <w:color w:val="000000"/>
              </w:rPr>
            </w:pPr>
            <w:r w:rsidRPr="00926B93">
              <w:rPr>
                <w:i/>
                <w:color w:val="000000"/>
              </w:rPr>
              <w:t>336.30</w:t>
            </w:r>
          </w:p>
        </w:tc>
        <w:tc>
          <w:tcPr>
            <w:tcW w:w="1418" w:type="dxa"/>
            <w:tcBorders>
              <w:top w:val="nil"/>
              <w:left w:val="nil"/>
              <w:bottom w:val="nil"/>
              <w:right w:val="nil"/>
            </w:tcBorders>
          </w:tcPr>
          <w:p w14:paraId="5249E84D" w14:textId="74452778" w:rsidR="00D61AE6" w:rsidRPr="00926B93" w:rsidRDefault="00D61AE6" w:rsidP="007949F7">
            <w:pPr>
              <w:spacing w:line="360" w:lineRule="auto"/>
              <w:jc w:val="right"/>
              <w:rPr>
                <w:i/>
                <w:color w:val="000000"/>
              </w:rPr>
            </w:pPr>
            <w:r w:rsidRPr="00926B93">
              <w:rPr>
                <w:i/>
                <w:color w:val="000000"/>
              </w:rPr>
              <w:t>10,868.54</w:t>
            </w:r>
          </w:p>
        </w:tc>
        <w:tc>
          <w:tcPr>
            <w:tcW w:w="1418" w:type="dxa"/>
            <w:tcBorders>
              <w:top w:val="nil"/>
              <w:left w:val="nil"/>
              <w:bottom w:val="nil"/>
              <w:right w:val="nil"/>
            </w:tcBorders>
            <w:shd w:val="clear" w:color="auto" w:fill="auto"/>
            <w:noWrap/>
            <w:vAlign w:val="center"/>
          </w:tcPr>
          <w:p w14:paraId="32E76199" w14:textId="3719650A" w:rsidR="00D61AE6" w:rsidRDefault="00D61AE6" w:rsidP="007949F7">
            <w:pPr>
              <w:spacing w:line="360" w:lineRule="auto"/>
              <w:jc w:val="right"/>
              <w:rPr>
                <w:i/>
                <w:iCs/>
                <w:color w:val="000000"/>
              </w:rPr>
            </w:pPr>
          </w:p>
        </w:tc>
      </w:tr>
      <w:tr w:rsidR="00D61AE6" w14:paraId="32E7619E" w14:textId="77777777" w:rsidTr="003B6825">
        <w:trPr>
          <w:trHeight w:val="282"/>
        </w:trPr>
        <w:tc>
          <w:tcPr>
            <w:tcW w:w="5480" w:type="dxa"/>
            <w:tcBorders>
              <w:top w:val="nil"/>
              <w:left w:val="nil"/>
              <w:bottom w:val="nil"/>
              <w:right w:val="nil"/>
            </w:tcBorders>
            <w:shd w:val="clear" w:color="auto" w:fill="auto"/>
            <w:noWrap/>
            <w:hideMark/>
          </w:tcPr>
          <w:p w14:paraId="32E7619B" w14:textId="77777777" w:rsidR="00D61AE6" w:rsidRDefault="00D61AE6" w:rsidP="007949F7">
            <w:pPr>
              <w:spacing w:line="360" w:lineRule="auto"/>
              <w:rPr>
                <w:i/>
                <w:iCs/>
                <w:color w:val="000000"/>
              </w:rPr>
            </w:pPr>
            <w:r>
              <w:rPr>
                <w:i/>
                <w:iCs/>
                <w:color w:val="000000"/>
              </w:rPr>
              <w:t>Pintura, Lacas y Barnices</w:t>
            </w:r>
          </w:p>
        </w:tc>
        <w:tc>
          <w:tcPr>
            <w:tcW w:w="1481" w:type="dxa"/>
            <w:tcBorders>
              <w:top w:val="nil"/>
              <w:left w:val="nil"/>
              <w:bottom w:val="nil"/>
              <w:right w:val="nil"/>
            </w:tcBorders>
            <w:shd w:val="clear" w:color="auto" w:fill="auto"/>
            <w:noWrap/>
          </w:tcPr>
          <w:p w14:paraId="32E7619C" w14:textId="071BE158" w:rsidR="00D61AE6" w:rsidRPr="00926B93" w:rsidRDefault="00B83531" w:rsidP="007949F7">
            <w:pPr>
              <w:spacing w:line="360" w:lineRule="auto"/>
              <w:jc w:val="right"/>
              <w:rPr>
                <w:i/>
                <w:color w:val="000000"/>
              </w:rPr>
            </w:pPr>
            <w:r w:rsidRPr="00926B93">
              <w:rPr>
                <w:i/>
                <w:color w:val="000000"/>
              </w:rPr>
              <w:t>131,329.42</w:t>
            </w:r>
          </w:p>
        </w:tc>
        <w:tc>
          <w:tcPr>
            <w:tcW w:w="1418" w:type="dxa"/>
            <w:tcBorders>
              <w:top w:val="nil"/>
              <w:left w:val="nil"/>
              <w:bottom w:val="nil"/>
              <w:right w:val="nil"/>
            </w:tcBorders>
          </w:tcPr>
          <w:p w14:paraId="7731588A" w14:textId="1C080B26" w:rsidR="00D61AE6" w:rsidRPr="00926B93" w:rsidRDefault="00D61AE6" w:rsidP="007949F7">
            <w:pPr>
              <w:spacing w:line="360" w:lineRule="auto"/>
              <w:jc w:val="right"/>
              <w:rPr>
                <w:i/>
                <w:color w:val="000000"/>
              </w:rPr>
            </w:pPr>
            <w:r w:rsidRPr="00926B93">
              <w:rPr>
                <w:i/>
                <w:color w:val="000000"/>
              </w:rPr>
              <w:t>73,343.64</w:t>
            </w:r>
          </w:p>
        </w:tc>
        <w:tc>
          <w:tcPr>
            <w:tcW w:w="1418" w:type="dxa"/>
            <w:tcBorders>
              <w:top w:val="nil"/>
              <w:left w:val="nil"/>
              <w:bottom w:val="nil"/>
              <w:right w:val="nil"/>
            </w:tcBorders>
            <w:shd w:val="clear" w:color="auto" w:fill="auto"/>
            <w:noWrap/>
            <w:vAlign w:val="center"/>
          </w:tcPr>
          <w:p w14:paraId="32E7619D" w14:textId="6445F2A5" w:rsidR="00D61AE6" w:rsidRDefault="00D61AE6" w:rsidP="007949F7">
            <w:pPr>
              <w:spacing w:line="360" w:lineRule="auto"/>
              <w:jc w:val="right"/>
              <w:rPr>
                <w:i/>
                <w:iCs/>
                <w:color w:val="000000"/>
              </w:rPr>
            </w:pPr>
          </w:p>
        </w:tc>
      </w:tr>
      <w:tr w:rsidR="00D61AE6" w14:paraId="32E761A2" w14:textId="77777777" w:rsidTr="003B6825">
        <w:trPr>
          <w:trHeight w:val="282"/>
        </w:trPr>
        <w:tc>
          <w:tcPr>
            <w:tcW w:w="5480" w:type="dxa"/>
            <w:tcBorders>
              <w:top w:val="nil"/>
              <w:left w:val="nil"/>
              <w:bottom w:val="nil"/>
              <w:right w:val="nil"/>
            </w:tcBorders>
            <w:shd w:val="clear" w:color="auto" w:fill="auto"/>
            <w:noWrap/>
            <w:hideMark/>
          </w:tcPr>
          <w:p w14:paraId="32E7619F" w14:textId="77777777" w:rsidR="00D61AE6" w:rsidRDefault="00D61AE6" w:rsidP="007949F7">
            <w:pPr>
              <w:spacing w:line="360" w:lineRule="auto"/>
              <w:rPr>
                <w:i/>
                <w:iCs/>
                <w:color w:val="000000"/>
              </w:rPr>
            </w:pPr>
            <w:r>
              <w:rPr>
                <w:i/>
                <w:iCs/>
                <w:color w:val="000000"/>
              </w:rPr>
              <w:t>Materiales para Limpieza</w:t>
            </w:r>
          </w:p>
        </w:tc>
        <w:tc>
          <w:tcPr>
            <w:tcW w:w="1481" w:type="dxa"/>
            <w:tcBorders>
              <w:top w:val="nil"/>
              <w:left w:val="nil"/>
              <w:bottom w:val="nil"/>
              <w:right w:val="nil"/>
            </w:tcBorders>
            <w:shd w:val="clear" w:color="auto" w:fill="auto"/>
            <w:noWrap/>
          </w:tcPr>
          <w:p w14:paraId="32E761A0" w14:textId="5F6141BC" w:rsidR="00D61AE6" w:rsidRPr="00926B93" w:rsidRDefault="00023DED" w:rsidP="007949F7">
            <w:pPr>
              <w:spacing w:line="360" w:lineRule="auto"/>
              <w:jc w:val="right"/>
              <w:rPr>
                <w:i/>
                <w:color w:val="000000"/>
              </w:rPr>
            </w:pPr>
            <w:r w:rsidRPr="00926B93">
              <w:rPr>
                <w:i/>
                <w:color w:val="000000"/>
              </w:rPr>
              <w:t>44,519.08</w:t>
            </w:r>
          </w:p>
        </w:tc>
        <w:tc>
          <w:tcPr>
            <w:tcW w:w="1418" w:type="dxa"/>
            <w:tcBorders>
              <w:top w:val="nil"/>
              <w:left w:val="nil"/>
              <w:bottom w:val="nil"/>
              <w:right w:val="nil"/>
            </w:tcBorders>
          </w:tcPr>
          <w:p w14:paraId="116B8693" w14:textId="7BA081A6" w:rsidR="00D61AE6" w:rsidRPr="00926B93" w:rsidRDefault="00D61AE6" w:rsidP="007949F7">
            <w:pPr>
              <w:spacing w:line="360" w:lineRule="auto"/>
              <w:jc w:val="right"/>
              <w:rPr>
                <w:i/>
                <w:color w:val="000000"/>
              </w:rPr>
            </w:pPr>
            <w:r w:rsidRPr="00926B93">
              <w:rPr>
                <w:i/>
                <w:color w:val="000000"/>
              </w:rPr>
              <w:t>36,363.57</w:t>
            </w:r>
          </w:p>
        </w:tc>
        <w:tc>
          <w:tcPr>
            <w:tcW w:w="1418" w:type="dxa"/>
            <w:tcBorders>
              <w:top w:val="nil"/>
              <w:left w:val="nil"/>
              <w:bottom w:val="nil"/>
              <w:right w:val="nil"/>
            </w:tcBorders>
            <w:shd w:val="clear" w:color="auto" w:fill="auto"/>
            <w:noWrap/>
            <w:vAlign w:val="center"/>
          </w:tcPr>
          <w:p w14:paraId="32E761A1" w14:textId="6A7A7EC1" w:rsidR="00D61AE6" w:rsidRDefault="00D61AE6" w:rsidP="007949F7">
            <w:pPr>
              <w:spacing w:line="360" w:lineRule="auto"/>
              <w:jc w:val="right"/>
              <w:rPr>
                <w:i/>
                <w:iCs/>
                <w:color w:val="000000"/>
              </w:rPr>
            </w:pPr>
          </w:p>
        </w:tc>
      </w:tr>
      <w:tr w:rsidR="00D61AE6" w14:paraId="32E761A6" w14:textId="77777777" w:rsidTr="003B6825">
        <w:trPr>
          <w:trHeight w:val="282"/>
        </w:trPr>
        <w:tc>
          <w:tcPr>
            <w:tcW w:w="5480" w:type="dxa"/>
            <w:tcBorders>
              <w:top w:val="nil"/>
              <w:left w:val="nil"/>
              <w:bottom w:val="nil"/>
              <w:right w:val="nil"/>
            </w:tcBorders>
            <w:shd w:val="clear" w:color="auto" w:fill="auto"/>
            <w:noWrap/>
            <w:hideMark/>
          </w:tcPr>
          <w:p w14:paraId="32E761A3" w14:textId="77777777" w:rsidR="00D61AE6" w:rsidRDefault="00D61AE6" w:rsidP="007949F7">
            <w:pPr>
              <w:spacing w:line="360" w:lineRule="auto"/>
              <w:rPr>
                <w:i/>
                <w:iCs/>
                <w:color w:val="000000"/>
              </w:rPr>
            </w:pPr>
            <w:r>
              <w:rPr>
                <w:i/>
                <w:iCs/>
                <w:color w:val="000000"/>
              </w:rPr>
              <w:t>Útiles de Escritorio, Oficina e Informática</w:t>
            </w:r>
          </w:p>
        </w:tc>
        <w:tc>
          <w:tcPr>
            <w:tcW w:w="1481" w:type="dxa"/>
            <w:tcBorders>
              <w:top w:val="nil"/>
              <w:left w:val="nil"/>
              <w:bottom w:val="nil"/>
              <w:right w:val="nil"/>
            </w:tcBorders>
            <w:shd w:val="clear" w:color="auto" w:fill="auto"/>
            <w:noWrap/>
          </w:tcPr>
          <w:p w14:paraId="32E761A4" w14:textId="2DE26FF7" w:rsidR="00D61AE6" w:rsidRPr="00926B93" w:rsidRDefault="00023DED" w:rsidP="007949F7">
            <w:pPr>
              <w:spacing w:line="360" w:lineRule="auto"/>
              <w:jc w:val="right"/>
              <w:rPr>
                <w:i/>
                <w:color w:val="000000"/>
              </w:rPr>
            </w:pPr>
            <w:r w:rsidRPr="00926B93">
              <w:rPr>
                <w:i/>
                <w:color w:val="000000"/>
              </w:rPr>
              <w:t>240,567.22</w:t>
            </w:r>
          </w:p>
        </w:tc>
        <w:tc>
          <w:tcPr>
            <w:tcW w:w="1418" w:type="dxa"/>
            <w:tcBorders>
              <w:top w:val="nil"/>
              <w:left w:val="nil"/>
              <w:bottom w:val="nil"/>
              <w:right w:val="nil"/>
            </w:tcBorders>
          </w:tcPr>
          <w:p w14:paraId="78747A26" w14:textId="579ABD22" w:rsidR="00D61AE6" w:rsidRPr="00926B93" w:rsidRDefault="00D61AE6" w:rsidP="007949F7">
            <w:pPr>
              <w:spacing w:line="360" w:lineRule="auto"/>
              <w:jc w:val="right"/>
              <w:rPr>
                <w:i/>
                <w:color w:val="000000"/>
              </w:rPr>
            </w:pPr>
            <w:r w:rsidRPr="00926B93">
              <w:rPr>
                <w:i/>
                <w:color w:val="000000"/>
              </w:rPr>
              <w:t>268,319.80</w:t>
            </w:r>
          </w:p>
        </w:tc>
        <w:tc>
          <w:tcPr>
            <w:tcW w:w="1418" w:type="dxa"/>
            <w:tcBorders>
              <w:top w:val="nil"/>
              <w:left w:val="nil"/>
              <w:bottom w:val="nil"/>
              <w:right w:val="nil"/>
            </w:tcBorders>
            <w:shd w:val="clear" w:color="auto" w:fill="auto"/>
            <w:noWrap/>
            <w:vAlign w:val="center"/>
          </w:tcPr>
          <w:p w14:paraId="32E761A5" w14:textId="785D91A5" w:rsidR="00D61AE6" w:rsidRDefault="00D61AE6" w:rsidP="007949F7">
            <w:pPr>
              <w:spacing w:line="360" w:lineRule="auto"/>
              <w:jc w:val="right"/>
              <w:rPr>
                <w:i/>
                <w:iCs/>
                <w:color w:val="000000"/>
              </w:rPr>
            </w:pPr>
          </w:p>
        </w:tc>
      </w:tr>
      <w:tr w:rsidR="00D61AE6" w14:paraId="32E761AA" w14:textId="77777777" w:rsidTr="003B6825">
        <w:trPr>
          <w:trHeight w:val="282"/>
        </w:trPr>
        <w:tc>
          <w:tcPr>
            <w:tcW w:w="5480" w:type="dxa"/>
            <w:tcBorders>
              <w:top w:val="nil"/>
              <w:left w:val="nil"/>
              <w:bottom w:val="nil"/>
              <w:right w:val="nil"/>
            </w:tcBorders>
            <w:shd w:val="clear" w:color="auto" w:fill="auto"/>
            <w:noWrap/>
            <w:hideMark/>
          </w:tcPr>
          <w:p w14:paraId="32E761A7" w14:textId="77777777" w:rsidR="00D61AE6" w:rsidRDefault="00D61AE6" w:rsidP="007949F7">
            <w:pPr>
              <w:spacing w:line="360" w:lineRule="auto"/>
              <w:rPr>
                <w:i/>
                <w:iCs/>
                <w:color w:val="000000"/>
              </w:rPr>
            </w:pPr>
            <w:r>
              <w:rPr>
                <w:i/>
                <w:iCs/>
                <w:color w:val="000000"/>
              </w:rPr>
              <w:t>Útiles Menores Médicos Quirúrgicos</w:t>
            </w:r>
          </w:p>
        </w:tc>
        <w:tc>
          <w:tcPr>
            <w:tcW w:w="1481" w:type="dxa"/>
            <w:tcBorders>
              <w:top w:val="nil"/>
              <w:left w:val="nil"/>
              <w:bottom w:val="nil"/>
              <w:right w:val="nil"/>
            </w:tcBorders>
            <w:shd w:val="clear" w:color="auto" w:fill="auto"/>
            <w:noWrap/>
          </w:tcPr>
          <w:p w14:paraId="32E761A8" w14:textId="7B5D1372" w:rsidR="00D61AE6" w:rsidRPr="00926B93" w:rsidRDefault="00023DED" w:rsidP="007949F7">
            <w:pPr>
              <w:spacing w:line="360" w:lineRule="auto"/>
              <w:jc w:val="right"/>
              <w:rPr>
                <w:i/>
                <w:color w:val="000000"/>
              </w:rPr>
            </w:pPr>
            <w:r w:rsidRPr="00926B93">
              <w:rPr>
                <w:i/>
                <w:color w:val="000000"/>
              </w:rPr>
              <w:t>0.00</w:t>
            </w:r>
          </w:p>
        </w:tc>
        <w:tc>
          <w:tcPr>
            <w:tcW w:w="1418" w:type="dxa"/>
            <w:tcBorders>
              <w:top w:val="nil"/>
              <w:left w:val="nil"/>
              <w:bottom w:val="nil"/>
              <w:right w:val="nil"/>
            </w:tcBorders>
          </w:tcPr>
          <w:p w14:paraId="4D1D1409" w14:textId="665696B1" w:rsidR="00D61AE6" w:rsidRPr="00926B93" w:rsidRDefault="00D61AE6" w:rsidP="007949F7">
            <w:pPr>
              <w:spacing w:line="360" w:lineRule="auto"/>
              <w:jc w:val="right"/>
              <w:rPr>
                <w:i/>
                <w:color w:val="000000"/>
              </w:rPr>
            </w:pPr>
            <w:r w:rsidRPr="00926B93">
              <w:rPr>
                <w:i/>
                <w:color w:val="000000"/>
              </w:rPr>
              <w:t>89,151.36</w:t>
            </w:r>
          </w:p>
        </w:tc>
        <w:tc>
          <w:tcPr>
            <w:tcW w:w="1418" w:type="dxa"/>
            <w:tcBorders>
              <w:top w:val="nil"/>
              <w:left w:val="nil"/>
              <w:bottom w:val="nil"/>
              <w:right w:val="nil"/>
            </w:tcBorders>
            <w:shd w:val="clear" w:color="auto" w:fill="auto"/>
            <w:noWrap/>
            <w:vAlign w:val="center"/>
          </w:tcPr>
          <w:p w14:paraId="32E761A9" w14:textId="38A9577C" w:rsidR="00D61AE6" w:rsidRDefault="00D61AE6" w:rsidP="007949F7">
            <w:pPr>
              <w:spacing w:line="360" w:lineRule="auto"/>
              <w:jc w:val="right"/>
              <w:rPr>
                <w:i/>
                <w:iCs/>
                <w:color w:val="000000"/>
              </w:rPr>
            </w:pPr>
          </w:p>
        </w:tc>
      </w:tr>
      <w:tr w:rsidR="00D61AE6" w14:paraId="32E761AE" w14:textId="77777777" w:rsidTr="003B6825">
        <w:trPr>
          <w:trHeight w:val="282"/>
        </w:trPr>
        <w:tc>
          <w:tcPr>
            <w:tcW w:w="5480" w:type="dxa"/>
            <w:tcBorders>
              <w:top w:val="nil"/>
              <w:left w:val="nil"/>
              <w:bottom w:val="nil"/>
              <w:right w:val="nil"/>
            </w:tcBorders>
            <w:shd w:val="clear" w:color="auto" w:fill="auto"/>
            <w:noWrap/>
            <w:hideMark/>
          </w:tcPr>
          <w:p w14:paraId="32E761AB" w14:textId="77777777" w:rsidR="00D61AE6" w:rsidRDefault="00D61AE6" w:rsidP="007949F7">
            <w:pPr>
              <w:spacing w:line="360" w:lineRule="auto"/>
              <w:rPr>
                <w:i/>
                <w:iCs/>
                <w:color w:val="000000"/>
              </w:rPr>
            </w:pPr>
            <w:r>
              <w:rPr>
                <w:i/>
                <w:iCs/>
                <w:color w:val="000000"/>
              </w:rPr>
              <w:t>Útiles de Cocina y Comedor</w:t>
            </w:r>
          </w:p>
        </w:tc>
        <w:tc>
          <w:tcPr>
            <w:tcW w:w="1481" w:type="dxa"/>
            <w:tcBorders>
              <w:top w:val="nil"/>
              <w:left w:val="nil"/>
              <w:bottom w:val="nil"/>
              <w:right w:val="nil"/>
            </w:tcBorders>
            <w:shd w:val="clear" w:color="auto" w:fill="auto"/>
            <w:noWrap/>
          </w:tcPr>
          <w:p w14:paraId="32E761AC" w14:textId="2191A769" w:rsidR="00D61AE6" w:rsidRPr="00926B93" w:rsidRDefault="00023DED" w:rsidP="007949F7">
            <w:pPr>
              <w:spacing w:line="360" w:lineRule="auto"/>
              <w:jc w:val="right"/>
              <w:rPr>
                <w:i/>
                <w:color w:val="000000"/>
              </w:rPr>
            </w:pPr>
            <w:r w:rsidRPr="00926B93">
              <w:rPr>
                <w:i/>
                <w:color w:val="000000"/>
              </w:rPr>
              <w:t>24,446.60</w:t>
            </w:r>
          </w:p>
        </w:tc>
        <w:tc>
          <w:tcPr>
            <w:tcW w:w="1418" w:type="dxa"/>
            <w:tcBorders>
              <w:top w:val="nil"/>
              <w:left w:val="nil"/>
              <w:bottom w:val="nil"/>
              <w:right w:val="nil"/>
            </w:tcBorders>
          </w:tcPr>
          <w:p w14:paraId="068155E6" w14:textId="22E0003C" w:rsidR="00D61AE6" w:rsidRPr="00926B93" w:rsidRDefault="00D61AE6" w:rsidP="007949F7">
            <w:pPr>
              <w:spacing w:line="360" w:lineRule="auto"/>
              <w:jc w:val="right"/>
              <w:rPr>
                <w:i/>
                <w:color w:val="000000"/>
              </w:rPr>
            </w:pPr>
            <w:r w:rsidRPr="00926B93">
              <w:rPr>
                <w:i/>
                <w:color w:val="000000"/>
              </w:rPr>
              <w:t>16,840.34</w:t>
            </w:r>
          </w:p>
        </w:tc>
        <w:tc>
          <w:tcPr>
            <w:tcW w:w="1418" w:type="dxa"/>
            <w:tcBorders>
              <w:top w:val="nil"/>
              <w:left w:val="nil"/>
              <w:bottom w:val="nil"/>
              <w:right w:val="nil"/>
            </w:tcBorders>
            <w:shd w:val="clear" w:color="auto" w:fill="auto"/>
            <w:noWrap/>
            <w:vAlign w:val="center"/>
          </w:tcPr>
          <w:p w14:paraId="32E761AD" w14:textId="538E034B" w:rsidR="00D61AE6" w:rsidRDefault="00D61AE6" w:rsidP="007949F7">
            <w:pPr>
              <w:spacing w:line="360" w:lineRule="auto"/>
              <w:jc w:val="right"/>
              <w:rPr>
                <w:i/>
                <w:iCs/>
                <w:color w:val="000000"/>
              </w:rPr>
            </w:pPr>
          </w:p>
        </w:tc>
      </w:tr>
      <w:tr w:rsidR="00D61AE6" w14:paraId="32E761B2" w14:textId="77777777" w:rsidTr="003B6825">
        <w:trPr>
          <w:trHeight w:val="282"/>
        </w:trPr>
        <w:tc>
          <w:tcPr>
            <w:tcW w:w="5480" w:type="dxa"/>
            <w:tcBorders>
              <w:top w:val="nil"/>
              <w:left w:val="nil"/>
              <w:bottom w:val="nil"/>
              <w:right w:val="nil"/>
            </w:tcBorders>
            <w:shd w:val="clear" w:color="auto" w:fill="auto"/>
            <w:noWrap/>
            <w:hideMark/>
          </w:tcPr>
          <w:p w14:paraId="32E761AF" w14:textId="77777777" w:rsidR="00D61AE6" w:rsidRDefault="00D61AE6" w:rsidP="007949F7">
            <w:pPr>
              <w:spacing w:line="360" w:lineRule="auto"/>
              <w:rPr>
                <w:i/>
                <w:iCs/>
                <w:color w:val="000000"/>
              </w:rPr>
            </w:pPr>
            <w:r>
              <w:rPr>
                <w:i/>
                <w:iCs/>
                <w:color w:val="000000"/>
              </w:rPr>
              <w:t>Productos Eléctricos y Afines</w:t>
            </w:r>
          </w:p>
        </w:tc>
        <w:tc>
          <w:tcPr>
            <w:tcW w:w="1481" w:type="dxa"/>
            <w:tcBorders>
              <w:top w:val="nil"/>
              <w:left w:val="nil"/>
              <w:bottom w:val="nil"/>
              <w:right w:val="nil"/>
            </w:tcBorders>
            <w:shd w:val="clear" w:color="auto" w:fill="auto"/>
            <w:noWrap/>
          </w:tcPr>
          <w:p w14:paraId="32E761B0" w14:textId="1D0453E3" w:rsidR="00D61AE6" w:rsidRPr="00926B93" w:rsidRDefault="005034F8" w:rsidP="007949F7">
            <w:pPr>
              <w:spacing w:line="360" w:lineRule="auto"/>
              <w:jc w:val="right"/>
              <w:rPr>
                <w:i/>
                <w:color w:val="000000"/>
              </w:rPr>
            </w:pPr>
            <w:r w:rsidRPr="00926B93">
              <w:rPr>
                <w:i/>
                <w:color w:val="000000"/>
              </w:rPr>
              <w:t>196,896.90</w:t>
            </w:r>
          </w:p>
        </w:tc>
        <w:tc>
          <w:tcPr>
            <w:tcW w:w="1418" w:type="dxa"/>
            <w:tcBorders>
              <w:top w:val="nil"/>
              <w:left w:val="nil"/>
              <w:bottom w:val="nil"/>
              <w:right w:val="nil"/>
            </w:tcBorders>
          </w:tcPr>
          <w:p w14:paraId="5D38A51E" w14:textId="0675C1E9" w:rsidR="00D61AE6" w:rsidRPr="00926B93" w:rsidRDefault="00D61AE6" w:rsidP="007949F7">
            <w:pPr>
              <w:spacing w:line="360" w:lineRule="auto"/>
              <w:jc w:val="right"/>
              <w:rPr>
                <w:i/>
                <w:color w:val="000000"/>
              </w:rPr>
            </w:pPr>
            <w:r w:rsidRPr="00926B93">
              <w:rPr>
                <w:i/>
                <w:color w:val="000000"/>
              </w:rPr>
              <w:t>237,168.41</w:t>
            </w:r>
          </w:p>
        </w:tc>
        <w:tc>
          <w:tcPr>
            <w:tcW w:w="1418" w:type="dxa"/>
            <w:tcBorders>
              <w:top w:val="nil"/>
              <w:left w:val="nil"/>
              <w:bottom w:val="nil"/>
              <w:right w:val="nil"/>
            </w:tcBorders>
            <w:shd w:val="clear" w:color="auto" w:fill="auto"/>
            <w:noWrap/>
            <w:vAlign w:val="center"/>
          </w:tcPr>
          <w:p w14:paraId="32E761B1" w14:textId="0A212685" w:rsidR="00D61AE6" w:rsidRDefault="00D61AE6" w:rsidP="007949F7">
            <w:pPr>
              <w:spacing w:line="360" w:lineRule="auto"/>
              <w:jc w:val="right"/>
              <w:rPr>
                <w:i/>
                <w:iCs/>
                <w:color w:val="000000"/>
              </w:rPr>
            </w:pPr>
          </w:p>
        </w:tc>
      </w:tr>
      <w:tr w:rsidR="00D61AE6" w14:paraId="32E761B6" w14:textId="77777777" w:rsidTr="003B6825">
        <w:trPr>
          <w:trHeight w:val="282"/>
        </w:trPr>
        <w:tc>
          <w:tcPr>
            <w:tcW w:w="5480" w:type="dxa"/>
            <w:tcBorders>
              <w:top w:val="nil"/>
              <w:left w:val="nil"/>
              <w:bottom w:val="nil"/>
              <w:right w:val="nil"/>
            </w:tcBorders>
            <w:shd w:val="clear" w:color="auto" w:fill="auto"/>
            <w:noWrap/>
            <w:hideMark/>
          </w:tcPr>
          <w:p w14:paraId="32E761B3" w14:textId="77777777" w:rsidR="00D61AE6" w:rsidRDefault="00D61AE6" w:rsidP="007949F7">
            <w:pPr>
              <w:spacing w:line="360" w:lineRule="auto"/>
              <w:rPr>
                <w:i/>
                <w:iCs/>
                <w:color w:val="000000"/>
              </w:rPr>
            </w:pPr>
            <w:r>
              <w:rPr>
                <w:i/>
                <w:iCs/>
                <w:color w:val="000000"/>
              </w:rPr>
              <w:t>Productos y Útiles Varios</w:t>
            </w:r>
          </w:p>
        </w:tc>
        <w:tc>
          <w:tcPr>
            <w:tcW w:w="1481" w:type="dxa"/>
            <w:tcBorders>
              <w:top w:val="nil"/>
              <w:left w:val="nil"/>
              <w:bottom w:val="nil"/>
              <w:right w:val="nil"/>
            </w:tcBorders>
            <w:shd w:val="clear" w:color="auto" w:fill="auto"/>
            <w:noWrap/>
          </w:tcPr>
          <w:p w14:paraId="32E761B4" w14:textId="238B0D14" w:rsidR="00D61AE6" w:rsidRPr="00926B93" w:rsidRDefault="005034F8" w:rsidP="007949F7">
            <w:pPr>
              <w:spacing w:line="360" w:lineRule="auto"/>
              <w:jc w:val="right"/>
              <w:rPr>
                <w:i/>
                <w:color w:val="000000"/>
              </w:rPr>
            </w:pPr>
            <w:r w:rsidRPr="00926B93">
              <w:rPr>
                <w:i/>
                <w:color w:val="000000"/>
              </w:rPr>
              <w:t>133,420.17</w:t>
            </w:r>
          </w:p>
        </w:tc>
        <w:tc>
          <w:tcPr>
            <w:tcW w:w="1418" w:type="dxa"/>
            <w:tcBorders>
              <w:top w:val="nil"/>
              <w:left w:val="nil"/>
              <w:bottom w:val="nil"/>
              <w:right w:val="nil"/>
            </w:tcBorders>
          </w:tcPr>
          <w:p w14:paraId="6358DA0F" w14:textId="6E9CBF63" w:rsidR="00D61AE6" w:rsidRPr="00926B93" w:rsidRDefault="00D61AE6" w:rsidP="007949F7">
            <w:pPr>
              <w:spacing w:line="360" w:lineRule="auto"/>
              <w:jc w:val="right"/>
              <w:rPr>
                <w:i/>
                <w:color w:val="000000"/>
              </w:rPr>
            </w:pPr>
            <w:r w:rsidRPr="00926B93">
              <w:rPr>
                <w:i/>
                <w:color w:val="000000"/>
              </w:rPr>
              <w:t>12,006.41</w:t>
            </w:r>
          </w:p>
        </w:tc>
        <w:tc>
          <w:tcPr>
            <w:tcW w:w="1418" w:type="dxa"/>
            <w:tcBorders>
              <w:top w:val="nil"/>
              <w:left w:val="nil"/>
              <w:bottom w:val="nil"/>
              <w:right w:val="nil"/>
            </w:tcBorders>
            <w:shd w:val="clear" w:color="auto" w:fill="auto"/>
            <w:noWrap/>
            <w:vAlign w:val="center"/>
          </w:tcPr>
          <w:p w14:paraId="32E761B5" w14:textId="34CF80BA" w:rsidR="00D61AE6" w:rsidRDefault="00D61AE6" w:rsidP="007949F7">
            <w:pPr>
              <w:spacing w:line="360" w:lineRule="auto"/>
              <w:jc w:val="right"/>
              <w:rPr>
                <w:i/>
                <w:iCs/>
                <w:color w:val="000000"/>
              </w:rPr>
            </w:pPr>
          </w:p>
        </w:tc>
      </w:tr>
      <w:tr w:rsidR="00D61AE6" w14:paraId="32E761BA" w14:textId="77777777" w:rsidTr="003B6825">
        <w:trPr>
          <w:trHeight w:val="282"/>
        </w:trPr>
        <w:tc>
          <w:tcPr>
            <w:tcW w:w="5480" w:type="dxa"/>
            <w:tcBorders>
              <w:top w:val="nil"/>
              <w:left w:val="nil"/>
              <w:bottom w:val="nil"/>
              <w:right w:val="nil"/>
            </w:tcBorders>
            <w:shd w:val="clear" w:color="auto" w:fill="auto"/>
            <w:noWrap/>
            <w:hideMark/>
          </w:tcPr>
          <w:p w14:paraId="32E761B7" w14:textId="77777777" w:rsidR="00D61AE6" w:rsidRDefault="00D61AE6" w:rsidP="007949F7">
            <w:pPr>
              <w:spacing w:line="360" w:lineRule="auto"/>
              <w:rPr>
                <w:i/>
                <w:iCs/>
                <w:color w:val="000000"/>
              </w:rPr>
            </w:pPr>
            <w:r>
              <w:rPr>
                <w:i/>
                <w:iCs/>
                <w:color w:val="000000"/>
              </w:rPr>
              <w:lastRenderedPageBreak/>
              <w:t>Productos de Vidrio</w:t>
            </w:r>
          </w:p>
        </w:tc>
        <w:tc>
          <w:tcPr>
            <w:tcW w:w="1481" w:type="dxa"/>
            <w:tcBorders>
              <w:top w:val="nil"/>
              <w:left w:val="nil"/>
              <w:bottom w:val="nil"/>
              <w:right w:val="nil"/>
            </w:tcBorders>
            <w:shd w:val="clear" w:color="auto" w:fill="auto"/>
            <w:noWrap/>
          </w:tcPr>
          <w:p w14:paraId="32E761B8" w14:textId="66E732EC" w:rsidR="00D61AE6" w:rsidRPr="00926B93" w:rsidRDefault="00926B93" w:rsidP="007949F7">
            <w:pPr>
              <w:spacing w:line="360" w:lineRule="auto"/>
              <w:jc w:val="right"/>
              <w:rPr>
                <w:i/>
                <w:color w:val="000000"/>
              </w:rPr>
            </w:pPr>
            <w:r w:rsidRPr="00926B93">
              <w:rPr>
                <w:i/>
                <w:color w:val="000000"/>
              </w:rPr>
              <w:t>0.00</w:t>
            </w:r>
          </w:p>
        </w:tc>
        <w:tc>
          <w:tcPr>
            <w:tcW w:w="1418" w:type="dxa"/>
            <w:tcBorders>
              <w:top w:val="nil"/>
              <w:left w:val="nil"/>
              <w:bottom w:val="nil"/>
              <w:right w:val="nil"/>
            </w:tcBorders>
          </w:tcPr>
          <w:p w14:paraId="5FFD4761" w14:textId="0E673E91" w:rsidR="00D61AE6" w:rsidRPr="00926B93" w:rsidRDefault="00D61AE6" w:rsidP="007949F7">
            <w:pPr>
              <w:spacing w:line="360" w:lineRule="auto"/>
              <w:jc w:val="right"/>
              <w:rPr>
                <w:i/>
                <w:color w:val="000000"/>
              </w:rPr>
            </w:pPr>
            <w:r w:rsidRPr="00926B93">
              <w:rPr>
                <w:i/>
                <w:color w:val="000000"/>
              </w:rPr>
              <w:t>0.00</w:t>
            </w:r>
          </w:p>
        </w:tc>
        <w:tc>
          <w:tcPr>
            <w:tcW w:w="1418" w:type="dxa"/>
            <w:tcBorders>
              <w:top w:val="nil"/>
              <w:left w:val="nil"/>
              <w:bottom w:val="nil"/>
              <w:right w:val="nil"/>
            </w:tcBorders>
            <w:shd w:val="clear" w:color="auto" w:fill="auto"/>
            <w:noWrap/>
            <w:vAlign w:val="center"/>
          </w:tcPr>
          <w:p w14:paraId="32E761B9" w14:textId="178A3331" w:rsidR="00D61AE6" w:rsidRDefault="00D61AE6" w:rsidP="007949F7">
            <w:pPr>
              <w:spacing w:line="360" w:lineRule="auto"/>
              <w:jc w:val="right"/>
              <w:rPr>
                <w:i/>
                <w:iCs/>
                <w:color w:val="000000"/>
              </w:rPr>
            </w:pPr>
          </w:p>
        </w:tc>
      </w:tr>
      <w:tr w:rsidR="00D61AE6" w14:paraId="32E761BE" w14:textId="77777777" w:rsidTr="003B6825">
        <w:trPr>
          <w:trHeight w:val="282"/>
        </w:trPr>
        <w:tc>
          <w:tcPr>
            <w:tcW w:w="5480" w:type="dxa"/>
            <w:tcBorders>
              <w:top w:val="nil"/>
              <w:left w:val="nil"/>
              <w:bottom w:val="nil"/>
              <w:right w:val="nil"/>
            </w:tcBorders>
            <w:shd w:val="clear" w:color="auto" w:fill="auto"/>
            <w:noWrap/>
            <w:hideMark/>
          </w:tcPr>
          <w:p w14:paraId="32E761BB" w14:textId="77777777" w:rsidR="00D61AE6" w:rsidRDefault="00D61AE6" w:rsidP="007949F7">
            <w:pPr>
              <w:spacing w:line="360" w:lineRule="auto"/>
              <w:rPr>
                <w:i/>
                <w:iCs/>
                <w:color w:val="000000"/>
              </w:rPr>
            </w:pPr>
            <w:r>
              <w:rPr>
                <w:i/>
                <w:iCs/>
                <w:color w:val="000000"/>
              </w:rPr>
              <w:t>Productos de Porcelana</w:t>
            </w:r>
          </w:p>
        </w:tc>
        <w:tc>
          <w:tcPr>
            <w:tcW w:w="1481" w:type="dxa"/>
            <w:tcBorders>
              <w:top w:val="nil"/>
              <w:left w:val="nil"/>
              <w:bottom w:val="nil"/>
              <w:right w:val="nil"/>
            </w:tcBorders>
            <w:shd w:val="clear" w:color="auto" w:fill="auto"/>
            <w:noWrap/>
          </w:tcPr>
          <w:p w14:paraId="32E761BC" w14:textId="1522C3CA" w:rsidR="00D61AE6" w:rsidRPr="00926B93" w:rsidRDefault="00926B93" w:rsidP="007949F7">
            <w:pPr>
              <w:spacing w:line="360" w:lineRule="auto"/>
              <w:jc w:val="right"/>
              <w:rPr>
                <w:i/>
                <w:color w:val="000000"/>
              </w:rPr>
            </w:pPr>
            <w:r w:rsidRPr="00926B93">
              <w:rPr>
                <w:i/>
                <w:color w:val="000000"/>
              </w:rPr>
              <w:t>0.00</w:t>
            </w:r>
          </w:p>
        </w:tc>
        <w:tc>
          <w:tcPr>
            <w:tcW w:w="1418" w:type="dxa"/>
            <w:tcBorders>
              <w:top w:val="nil"/>
              <w:left w:val="nil"/>
              <w:bottom w:val="nil"/>
              <w:right w:val="nil"/>
            </w:tcBorders>
          </w:tcPr>
          <w:p w14:paraId="78F6CFDE" w14:textId="29D7EF0F" w:rsidR="00D61AE6" w:rsidRPr="00926B93" w:rsidRDefault="00D61AE6" w:rsidP="007949F7">
            <w:pPr>
              <w:spacing w:line="360" w:lineRule="auto"/>
              <w:jc w:val="right"/>
              <w:rPr>
                <w:i/>
                <w:color w:val="000000"/>
              </w:rPr>
            </w:pPr>
            <w:r w:rsidRPr="00926B93">
              <w:rPr>
                <w:i/>
                <w:color w:val="000000"/>
              </w:rPr>
              <w:t>10,885.50</w:t>
            </w:r>
          </w:p>
        </w:tc>
        <w:tc>
          <w:tcPr>
            <w:tcW w:w="1418" w:type="dxa"/>
            <w:tcBorders>
              <w:top w:val="nil"/>
              <w:left w:val="nil"/>
              <w:bottom w:val="nil"/>
              <w:right w:val="nil"/>
            </w:tcBorders>
            <w:shd w:val="clear" w:color="auto" w:fill="auto"/>
            <w:noWrap/>
            <w:vAlign w:val="center"/>
          </w:tcPr>
          <w:p w14:paraId="32E761BD" w14:textId="2BDAAD8D" w:rsidR="00D61AE6" w:rsidRDefault="00D61AE6" w:rsidP="007949F7">
            <w:pPr>
              <w:spacing w:line="360" w:lineRule="auto"/>
              <w:jc w:val="right"/>
              <w:rPr>
                <w:i/>
                <w:iCs/>
                <w:color w:val="000000"/>
              </w:rPr>
            </w:pPr>
          </w:p>
        </w:tc>
      </w:tr>
      <w:tr w:rsidR="00D61AE6" w14:paraId="32E761C2" w14:textId="77777777" w:rsidTr="003B6825">
        <w:trPr>
          <w:trHeight w:val="282"/>
        </w:trPr>
        <w:tc>
          <w:tcPr>
            <w:tcW w:w="5480" w:type="dxa"/>
            <w:tcBorders>
              <w:top w:val="nil"/>
              <w:left w:val="nil"/>
              <w:bottom w:val="nil"/>
              <w:right w:val="nil"/>
            </w:tcBorders>
            <w:shd w:val="clear" w:color="auto" w:fill="auto"/>
            <w:noWrap/>
            <w:hideMark/>
          </w:tcPr>
          <w:p w14:paraId="32E761BF" w14:textId="77777777" w:rsidR="00D61AE6" w:rsidRDefault="00D61AE6" w:rsidP="007949F7">
            <w:pPr>
              <w:spacing w:line="360" w:lineRule="auto"/>
              <w:rPr>
                <w:i/>
                <w:iCs/>
                <w:color w:val="000000"/>
              </w:rPr>
            </w:pPr>
            <w:r>
              <w:rPr>
                <w:i/>
                <w:iCs/>
                <w:color w:val="000000"/>
              </w:rPr>
              <w:t>Otros Productos Químicos Conexos</w:t>
            </w:r>
          </w:p>
        </w:tc>
        <w:tc>
          <w:tcPr>
            <w:tcW w:w="1481" w:type="dxa"/>
            <w:tcBorders>
              <w:top w:val="nil"/>
              <w:left w:val="nil"/>
              <w:bottom w:val="nil"/>
              <w:right w:val="nil"/>
            </w:tcBorders>
            <w:shd w:val="clear" w:color="auto" w:fill="auto"/>
            <w:noWrap/>
          </w:tcPr>
          <w:p w14:paraId="32E761C0" w14:textId="0B2C536E" w:rsidR="00D61AE6" w:rsidRPr="00926B93" w:rsidRDefault="00926B93" w:rsidP="007949F7">
            <w:pPr>
              <w:spacing w:line="360" w:lineRule="auto"/>
              <w:jc w:val="right"/>
              <w:rPr>
                <w:i/>
                <w:color w:val="000000"/>
                <w:u w:val="single"/>
              </w:rPr>
            </w:pPr>
            <w:r>
              <w:rPr>
                <w:i/>
                <w:color w:val="000000"/>
                <w:u w:val="single"/>
              </w:rPr>
              <w:t xml:space="preserve"> </w:t>
            </w:r>
            <w:r>
              <w:rPr>
                <w:color w:val="000000"/>
                <w:u w:val="single"/>
              </w:rPr>
              <w:t xml:space="preserve">   </w:t>
            </w:r>
            <w:r w:rsidRPr="00926B93">
              <w:rPr>
                <w:i/>
                <w:color w:val="000000"/>
                <w:u w:val="single"/>
              </w:rPr>
              <w:t>16,455.48</w:t>
            </w:r>
          </w:p>
        </w:tc>
        <w:tc>
          <w:tcPr>
            <w:tcW w:w="1418" w:type="dxa"/>
            <w:tcBorders>
              <w:top w:val="nil"/>
              <w:left w:val="nil"/>
              <w:bottom w:val="nil"/>
              <w:right w:val="nil"/>
            </w:tcBorders>
          </w:tcPr>
          <w:p w14:paraId="23DAB460" w14:textId="5BFAD6A2" w:rsidR="00D61AE6" w:rsidRPr="00926B93" w:rsidRDefault="00D61AE6" w:rsidP="007949F7">
            <w:pPr>
              <w:spacing w:line="360" w:lineRule="auto"/>
              <w:jc w:val="right"/>
              <w:rPr>
                <w:i/>
                <w:color w:val="000000"/>
                <w:u w:val="single"/>
              </w:rPr>
            </w:pPr>
            <w:r w:rsidRPr="00926B93">
              <w:rPr>
                <w:i/>
                <w:color w:val="000000"/>
                <w:u w:val="single"/>
              </w:rPr>
              <w:t xml:space="preserve">     10,815.70</w:t>
            </w:r>
          </w:p>
        </w:tc>
        <w:tc>
          <w:tcPr>
            <w:tcW w:w="1418" w:type="dxa"/>
            <w:tcBorders>
              <w:top w:val="nil"/>
              <w:left w:val="nil"/>
              <w:bottom w:val="nil"/>
              <w:right w:val="nil"/>
            </w:tcBorders>
            <w:shd w:val="clear" w:color="auto" w:fill="auto"/>
            <w:noWrap/>
            <w:vAlign w:val="center"/>
          </w:tcPr>
          <w:p w14:paraId="32E761C1" w14:textId="7F40D063" w:rsidR="00D61AE6" w:rsidRDefault="00D61AE6" w:rsidP="007949F7">
            <w:pPr>
              <w:spacing w:line="360" w:lineRule="auto"/>
              <w:jc w:val="right"/>
              <w:rPr>
                <w:i/>
                <w:iCs/>
                <w:color w:val="000000"/>
                <w:u w:val="single"/>
              </w:rPr>
            </w:pPr>
          </w:p>
        </w:tc>
      </w:tr>
      <w:tr w:rsidR="00D61AE6" w14:paraId="32E761C6" w14:textId="77777777" w:rsidTr="00D61AE6">
        <w:trPr>
          <w:trHeight w:val="282"/>
        </w:trPr>
        <w:tc>
          <w:tcPr>
            <w:tcW w:w="5480" w:type="dxa"/>
            <w:tcBorders>
              <w:top w:val="nil"/>
              <w:left w:val="nil"/>
              <w:bottom w:val="nil"/>
              <w:right w:val="nil"/>
            </w:tcBorders>
            <w:shd w:val="clear" w:color="auto" w:fill="auto"/>
            <w:noWrap/>
            <w:vAlign w:val="center"/>
            <w:hideMark/>
          </w:tcPr>
          <w:p w14:paraId="32E761C3" w14:textId="77777777" w:rsidR="00D61AE6" w:rsidRDefault="00D61AE6" w:rsidP="007949F7">
            <w:pPr>
              <w:spacing w:line="360" w:lineRule="auto"/>
              <w:rPr>
                <w:b/>
                <w:bCs/>
                <w:i/>
                <w:iCs/>
                <w:color w:val="000000"/>
              </w:rPr>
            </w:pPr>
            <w:proofErr w:type="gramStart"/>
            <w:r>
              <w:rPr>
                <w:b/>
                <w:bCs/>
                <w:i/>
                <w:iCs/>
                <w:color w:val="000000"/>
              </w:rPr>
              <w:t>Total</w:t>
            </w:r>
            <w:proofErr w:type="gramEnd"/>
            <w:r>
              <w:rPr>
                <w:b/>
                <w:bCs/>
                <w:i/>
                <w:iCs/>
                <w:color w:val="000000"/>
              </w:rPr>
              <w:t xml:space="preserve"> Gastos de Materiales y Suministros</w:t>
            </w:r>
          </w:p>
        </w:tc>
        <w:tc>
          <w:tcPr>
            <w:tcW w:w="1481" w:type="dxa"/>
            <w:tcBorders>
              <w:top w:val="nil"/>
              <w:left w:val="nil"/>
              <w:bottom w:val="nil"/>
              <w:right w:val="nil"/>
            </w:tcBorders>
            <w:shd w:val="clear" w:color="auto" w:fill="auto"/>
            <w:noWrap/>
            <w:hideMark/>
          </w:tcPr>
          <w:p w14:paraId="32E761C4" w14:textId="0D613606" w:rsidR="00D61AE6" w:rsidRPr="00926B93" w:rsidRDefault="00081800" w:rsidP="007949F7">
            <w:pPr>
              <w:spacing w:line="360" w:lineRule="auto"/>
              <w:jc w:val="right"/>
              <w:rPr>
                <w:i/>
                <w:color w:val="000000"/>
              </w:rPr>
            </w:pPr>
            <w:r>
              <w:rPr>
                <w:b/>
                <w:bCs/>
                <w:i/>
                <w:color w:val="000000"/>
                <w:u w:val="double"/>
              </w:rPr>
              <w:t>8</w:t>
            </w:r>
            <w:r w:rsidR="00AD2194" w:rsidRPr="00926B93">
              <w:rPr>
                <w:b/>
                <w:bCs/>
                <w:i/>
                <w:color w:val="000000"/>
                <w:u w:val="double"/>
              </w:rPr>
              <w:t>,987,169.71</w:t>
            </w:r>
          </w:p>
        </w:tc>
        <w:tc>
          <w:tcPr>
            <w:tcW w:w="1418" w:type="dxa"/>
            <w:tcBorders>
              <w:top w:val="nil"/>
              <w:left w:val="nil"/>
              <w:bottom w:val="nil"/>
              <w:right w:val="nil"/>
            </w:tcBorders>
          </w:tcPr>
          <w:p w14:paraId="2460B92F" w14:textId="4108E9EE" w:rsidR="00D61AE6" w:rsidRPr="00926B93" w:rsidRDefault="00D61AE6" w:rsidP="007949F7">
            <w:pPr>
              <w:spacing w:line="360" w:lineRule="auto"/>
              <w:jc w:val="right"/>
              <w:rPr>
                <w:b/>
                <w:bCs/>
                <w:i/>
                <w:color w:val="000000"/>
                <w:u w:val="double"/>
              </w:rPr>
            </w:pPr>
            <w:r w:rsidRPr="00926B93">
              <w:rPr>
                <w:b/>
                <w:bCs/>
                <w:i/>
                <w:color w:val="000000"/>
                <w:u w:val="double"/>
              </w:rPr>
              <w:t>8,016,520.15</w:t>
            </w:r>
          </w:p>
        </w:tc>
        <w:tc>
          <w:tcPr>
            <w:tcW w:w="1418" w:type="dxa"/>
            <w:tcBorders>
              <w:top w:val="nil"/>
              <w:left w:val="nil"/>
              <w:bottom w:val="nil"/>
              <w:right w:val="nil"/>
            </w:tcBorders>
            <w:shd w:val="clear" w:color="auto" w:fill="auto"/>
            <w:noWrap/>
          </w:tcPr>
          <w:p w14:paraId="32E761C5" w14:textId="748761D2" w:rsidR="00D61AE6" w:rsidRDefault="00D61AE6" w:rsidP="007949F7">
            <w:pPr>
              <w:spacing w:line="360" w:lineRule="auto"/>
              <w:jc w:val="right"/>
              <w:rPr>
                <w:b/>
                <w:bCs/>
                <w:i/>
                <w:iCs/>
                <w:color w:val="000000"/>
                <w:u w:val="double"/>
              </w:rPr>
            </w:pPr>
          </w:p>
        </w:tc>
      </w:tr>
    </w:tbl>
    <w:p w14:paraId="32E761C7" w14:textId="77777777" w:rsidR="00CF7BA4" w:rsidRDefault="00CF7BA4" w:rsidP="007949F7">
      <w:pPr>
        <w:spacing w:line="360" w:lineRule="auto"/>
        <w:jc w:val="both"/>
        <w:rPr>
          <w:b/>
          <w:i/>
          <w:sz w:val="28"/>
        </w:rPr>
      </w:pPr>
    </w:p>
    <w:p w14:paraId="32E761C8" w14:textId="22D2F501" w:rsidR="006F5A35" w:rsidRPr="002E6615" w:rsidRDefault="006F5A35" w:rsidP="007949F7">
      <w:pPr>
        <w:spacing w:line="360" w:lineRule="auto"/>
        <w:jc w:val="both"/>
        <w:rPr>
          <w:b/>
          <w:i/>
          <w:sz w:val="28"/>
        </w:rPr>
      </w:pPr>
      <w:r w:rsidRPr="002E6615">
        <w:rPr>
          <w:b/>
          <w:i/>
          <w:sz w:val="28"/>
        </w:rPr>
        <w:t xml:space="preserve">Nota </w:t>
      </w:r>
      <w:r>
        <w:rPr>
          <w:b/>
          <w:i/>
          <w:sz w:val="28"/>
        </w:rPr>
        <w:t>2</w:t>
      </w:r>
      <w:r w:rsidR="00B334CC">
        <w:rPr>
          <w:b/>
          <w:i/>
          <w:sz w:val="28"/>
        </w:rPr>
        <w:t>2</w:t>
      </w:r>
      <w:r>
        <w:rPr>
          <w:b/>
          <w:i/>
          <w:sz w:val="28"/>
        </w:rPr>
        <w:t>:</w:t>
      </w:r>
      <w:r w:rsidRPr="002E6615">
        <w:rPr>
          <w:b/>
          <w:i/>
          <w:sz w:val="28"/>
        </w:rPr>
        <w:t xml:space="preserve"> </w:t>
      </w:r>
      <w:r>
        <w:rPr>
          <w:b/>
          <w:i/>
          <w:sz w:val="28"/>
        </w:rPr>
        <w:t xml:space="preserve">Gastos de Depreciación y Amortización </w:t>
      </w:r>
    </w:p>
    <w:p w14:paraId="32E761C9" w14:textId="0E63FBC5" w:rsidR="006F5A35" w:rsidRPr="003E5DBC" w:rsidRDefault="006F5A35" w:rsidP="007949F7">
      <w:pPr>
        <w:spacing w:line="360" w:lineRule="auto"/>
        <w:jc w:val="both"/>
        <w:rPr>
          <w:i/>
        </w:rPr>
      </w:pPr>
      <w:r w:rsidRPr="00002042">
        <w:rPr>
          <w:bCs/>
          <w:i/>
          <w:lang w:eastAsia="es-ES"/>
        </w:rPr>
        <w:t xml:space="preserve">Al </w:t>
      </w:r>
      <w:r w:rsidRPr="00527060">
        <w:rPr>
          <w:bCs/>
          <w:i/>
          <w:lang w:eastAsia="es-ES"/>
        </w:rPr>
        <w:t>3</w:t>
      </w:r>
      <w:r>
        <w:rPr>
          <w:bCs/>
          <w:i/>
          <w:lang w:eastAsia="es-ES"/>
        </w:rPr>
        <w:t>1</w:t>
      </w:r>
      <w:r w:rsidRPr="00527060">
        <w:rPr>
          <w:bCs/>
          <w:i/>
          <w:lang w:eastAsia="es-ES"/>
        </w:rPr>
        <w:t xml:space="preserve"> de </w:t>
      </w:r>
      <w:r>
        <w:rPr>
          <w:bCs/>
          <w:i/>
          <w:lang w:eastAsia="es-ES"/>
        </w:rPr>
        <w:t>Diciembre</w:t>
      </w:r>
      <w:r w:rsidRPr="00527060">
        <w:rPr>
          <w:bCs/>
          <w:i/>
          <w:lang w:eastAsia="es-ES"/>
        </w:rPr>
        <w:t xml:space="preserve"> </w:t>
      </w:r>
      <w:r w:rsidRPr="002E6615">
        <w:rPr>
          <w:rStyle w:val="CarCar"/>
          <w:rFonts w:ascii="Times New Roman" w:hAnsi="Times New Roman" w:cs="Times New Roman"/>
          <w:b w:val="0"/>
          <w:i/>
          <w:sz w:val="24"/>
        </w:rPr>
        <w:t xml:space="preserve">de los </w:t>
      </w:r>
      <w:proofErr w:type="gramStart"/>
      <w:r w:rsidRPr="002E6615">
        <w:rPr>
          <w:rStyle w:val="CarCar"/>
          <w:rFonts w:ascii="Times New Roman" w:hAnsi="Times New Roman" w:cs="Times New Roman"/>
          <w:b w:val="0"/>
          <w:i/>
          <w:sz w:val="24"/>
        </w:rPr>
        <w:t xml:space="preserve">años  </w:t>
      </w:r>
      <w:r w:rsidR="00657827" w:rsidRPr="00BD5449">
        <w:rPr>
          <w:rStyle w:val="CarCar"/>
          <w:rFonts w:ascii="Times New Roman" w:hAnsi="Times New Roman" w:cs="Times New Roman"/>
          <w:b w:val="0"/>
          <w:i/>
          <w:sz w:val="24"/>
        </w:rPr>
        <w:t>202</w:t>
      </w:r>
      <w:r w:rsidR="00657827">
        <w:rPr>
          <w:rStyle w:val="CarCar"/>
          <w:rFonts w:ascii="Times New Roman" w:hAnsi="Times New Roman" w:cs="Times New Roman"/>
          <w:b w:val="0"/>
          <w:i/>
          <w:sz w:val="24"/>
        </w:rPr>
        <w:t>2</w:t>
      </w:r>
      <w:proofErr w:type="gramEnd"/>
      <w:r w:rsidR="00657827" w:rsidRPr="00BD5449">
        <w:rPr>
          <w:rStyle w:val="CarCar"/>
          <w:rFonts w:ascii="Times New Roman" w:hAnsi="Times New Roman" w:cs="Times New Roman"/>
          <w:b w:val="0"/>
          <w:i/>
          <w:sz w:val="24"/>
        </w:rPr>
        <w:t xml:space="preserve">  y  20</w:t>
      </w:r>
      <w:r w:rsidR="00657827">
        <w:rPr>
          <w:rStyle w:val="CarCar"/>
          <w:rFonts w:ascii="Times New Roman" w:hAnsi="Times New Roman" w:cs="Times New Roman"/>
          <w:b w:val="0"/>
          <w:i/>
          <w:sz w:val="24"/>
        </w:rPr>
        <w:t>21</w:t>
      </w:r>
      <w:r w:rsidRPr="000B5208">
        <w:rPr>
          <w:rStyle w:val="CarCar"/>
          <w:rFonts w:ascii="Times New Roman" w:hAnsi="Times New Roman" w:cs="Times New Roman"/>
          <w:b w:val="0"/>
          <w:i/>
          <w:sz w:val="24"/>
        </w:rPr>
        <w:t xml:space="preserve">, </w:t>
      </w:r>
      <w:r w:rsidRPr="000B5208">
        <w:rPr>
          <w:i/>
        </w:rPr>
        <w:t xml:space="preserve">el total de </w:t>
      </w:r>
      <w:r>
        <w:rPr>
          <w:i/>
        </w:rPr>
        <w:t>Gastos de Depreciación y Amortización</w:t>
      </w:r>
      <w:r w:rsidRPr="000B5208">
        <w:rPr>
          <w:i/>
        </w:rPr>
        <w:t xml:space="preserve"> es de </w:t>
      </w:r>
      <w:r w:rsidRPr="003E5DBC">
        <w:rPr>
          <w:i/>
        </w:rPr>
        <w:t>RD$</w:t>
      </w:r>
      <w:r w:rsidRPr="00A64D2B">
        <w:rPr>
          <w:i/>
        </w:rPr>
        <w:t>2,976,764.73</w:t>
      </w:r>
      <w:r>
        <w:rPr>
          <w:i/>
        </w:rPr>
        <w:t xml:space="preserve"> </w:t>
      </w:r>
      <w:r w:rsidRPr="003E5DBC">
        <w:rPr>
          <w:i/>
        </w:rPr>
        <w:t>y RD$</w:t>
      </w:r>
      <w:r w:rsidRPr="00A64D2B">
        <w:rPr>
          <w:i/>
        </w:rPr>
        <w:t>3,085,484.72</w:t>
      </w:r>
      <w:r>
        <w:rPr>
          <w:i/>
        </w:rPr>
        <w:t xml:space="preserve"> </w:t>
      </w:r>
      <w:r w:rsidRPr="003E5DBC">
        <w:rPr>
          <w:i/>
        </w:rPr>
        <w:t>respectivamente, según el siguiente detalle:</w:t>
      </w:r>
    </w:p>
    <w:p w14:paraId="32E761CA" w14:textId="7375EA15" w:rsidR="006F5A35" w:rsidRPr="00630BB6" w:rsidRDefault="006F5A35" w:rsidP="007949F7">
      <w:pPr>
        <w:spacing w:line="360" w:lineRule="auto"/>
        <w:rPr>
          <w:b/>
          <w:i/>
        </w:rPr>
      </w:pPr>
      <w:r w:rsidRPr="00630BB6">
        <w:rPr>
          <w:b/>
          <w:i/>
        </w:rPr>
        <w:t>PARTIDAS</w:t>
      </w:r>
      <w:r w:rsidRPr="00630BB6">
        <w:rPr>
          <w:i/>
        </w:rPr>
        <w:tab/>
      </w:r>
      <w:r w:rsidRPr="00630BB6">
        <w:rPr>
          <w:i/>
        </w:rPr>
        <w:tab/>
      </w:r>
      <w:r w:rsidRPr="00630BB6">
        <w:rPr>
          <w:i/>
        </w:rPr>
        <w:tab/>
      </w:r>
      <w:r w:rsidRPr="00630BB6">
        <w:rPr>
          <w:i/>
        </w:rPr>
        <w:tab/>
      </w:r>
      <w:r w:rsidRPr="00630BB6">
        <w:rPr>
          <w:i/>
        </w:rPr>
        <w:tab/>
      </w:r>
      <w:r w:rsidRPr="00630BB6">
        <w:rPr>
          <w:i/>
        </w:rPr>
        <w:tab/>
        <w:t xml:space="preserve">                 </w:t>
      </w:r>
      <w:r w:rsidR="001F7844">
        <w:rPr>
          <w:b/>
          <w:i/>
        </w:rPr>
        <w:t>2022</w:t>
      </w:r>
      <w:r w:rsidR="001F7844">
        <w:rPr>
          <w:b/>
          <w:i/>
        </w:rPr>
        <w:tab/>
        <w:t xml:space="preserve">    2021</w:t>
      </w:r>
    </w:p>
    <w:tbl>
      <w:tblPr>
        <w:tblW w:w="10195" w:type="dxa"/>
        <w:tblInd w:w="55" w:type="dxa"/>
        <w:tblCellMar>
          <w:left w:w="70" w:type="dxa"/>
          <w:right w:w="70" w:type="dxa"/>
        </w:tblCellMar>
        <w:tblLook w:val="04A0" w:firstRow="1" w:lastRow="0" w:firstColumn="1" w:lastColumn="0" w:noHBand="0" w:noVBand="1"/>
      </w:tblPr>
      <w:tblGrid>
        <w:gridCol w:w="5457"/>
        <w:gridCol w:w="1400"/>
        <w:gridCol w:w="1669"/>
        <w:gridCol w:w="1669"/>
      </w:tblGrid>
      <w:tr w:rsidR="00DD1E13" w14:paraId="32E761CE" w14:textId="77777777" w:rsidTr="00DD1E13">
        <w:trPr>
          <w:trHeight w:val="282"/>
        </w:trPr>
        <w:tc>
          <w:tcPr>
            <w:tcW w:w="5457" w:type="dxa"/>
            <w:tcBorders>
              <w:top w:val="nil"/>
              <w:left w:val="nil"/>
              <w:bottom w:val="nil"/>
              <w:right w:val="nil"/>
            </w:tcBorders>
            <w:shd w:val="clear" w:color="auto" w:fill="auto"/>
            <w:noWrap/>
            <w:hideMark/>
          </w:tcPr>
          <w:p w14:paraId="32E761CB" w14:textId="77777777" w:rsidR="00DD1E13" w:rsidRDefault="00DD1E13" w:rsidP="007949F7">
            <w:pPr>
              <w:spacing w:line="360" w:lineRule="auto"/>
              <w:rPr>
                <w:i/>
                <w:iCs/>
                <w:color w:val="000000"/>
              </w:rPr>
            </w:pPr>
            <w:r>
              <w:rPr>
                <w:i/>
                <w:iCs/>
                <w:color w:val="000000"/>
              </w:rPr>
              <w:t>Depreciación Edificio</w:t>
            </w:r>
          </w:p>
        </w:tc>
        <w:tc>
          <w:tcPr>
            <w:tcW w:w="1400" w:type="dxa"/>
            <w:tcBorders>
              <w:top w:val="nil"/>
              <w:left w:val="nil"/>
              <w:bottom w:val="nil"/>
              <w:right w:val="nil"/>
            </w:tcBorders>
            <w:shd w:val="clear" w:color="auto" w:fill="auto"/>
            <w:noWrap/>
            <w:hideMark/>
          </w:tcPr>
          <w:p w14:paraId="32E761CC" w14:textId="77777777" w:rsidR="00DD1E13" w:rsidRDefault="00DD1E13" w:rsidP="007949F7">
            <w:pPr>
              <w:spacing w:line="360" w:lineRule="auto"/>
              <w:jc w:val="right"/>
              <w:rPr>
                <w:i/>
                <w:iCs/>
                <w:color w:val="000000"/>
              </w:rPr>
            </w:pPr>
            <w:r w:rsidRPr="00FD15D4">
              <w:rPr>
                <w:i/>
                <w:iCs/>
                <w:color w:val="000000"/>
              </w:rPr>
              <w:t>1,740,356.64</w:t>
            </w:r>
          </w:p>
        </w:tc>
        <w:tc>
          <w:tcPr>
            <w:tcW w:w="1669" w:type="dxa"/>
            <w:tcBorders>
              <w:top w:val="nil"/>
              <w:left w:val="nil"/>
              <w:bottom w:val="nil"/>
              <w:right w:val="nil"/>
            </w:tcBorders>
          </w:tcPr>
          <w:p w14:paraId="301941D2" w14:textId="0B796091" w:rsidR="00DD1E13" w:rsidRDefault="00DD1E13" w:rsidP="007949F7">
            <w:pPr>
              <w:spacing w:line="360" w:lineRule="auto"/>
              <w:jc w:val="right"/>
              <w:rPr>
                <w:i/>
                <w:iCs/>
                <w:color w:val="000000"/>
              </w:rPr>
            </w:pPr>
            <w:r>
              <w:rPr>
                <w:i/>
                <w:iCs/>
                <w:color w:val="000000"/>
              </w:rPr>
              <w:t>1,740,356.64</w:t>
            </w:r>
          </w:p>
        </w:tc>
        <w:tc>
          <w:tcPr>
            <w:tcW w:w="1669" w:type="dxa"/>
            <w:tcBorders>
              <w:top w:val="nil"/>
              <w:left w:val="nil"/>
              <w:bottom w:val="nil"/>
              <w:right w:val="nil"/>
            </w:tcBorders>
            <w:shd w:val="clear" w:color="auto" w:fill="auto"/>
            <w:noWrap/>
            <w:vAlign w:val="center"/>
          </w:tcPr>
          <w:p w14:paraId="32E761CD" w14:textId="269F9E60" w:rsidR="00DD1E13" w:rsidRDefault="00DD1E13" w:rsidP="007949F7">
            <w:pPr>
              <w:spacing w:line="360" w:lineRule="auto"/>
              <w:jc w:val="right"/>
              <w:rPr>
                <w:i/>
                <w:iCs/>
                <w:color w:val="000000"/>
              </w:rPr>
            </w:pPr>
          </w:p>
        </w:tc>
      </w:tr>
      <w:tr w:rsidR="00DD1E13" w14:paraId="32E761D2" w14:textId="77777777" w:rsidTr="00DD1E13">
        <w:trPr>
          <w:trHeight w:val="282"/>
        </w:trPr>
        <w:tc>
          <w:tcPr>
            <w:tcW w:w="5457" w:type="dxa"/>
            <w:tcBorders>
              <w:top w:val="nil"/>
              <w:left w:val="nil"/>
              <w:bottom w:val="nil"/>
              <w:right w:val="nil"/>
            </w:tcBorders>
            <w:shd w:val="clear" w:color="auto" w:fill="auto"/>
            <w:noWrap/>
            <w:hideMark/>
          </w:tcPr>
          <w:p w14:paraId="32E761CF" w14:textId="77777777" w:rsidR="00DD1E13" w:rsidRDefault="00DD1E13" w:rsidP="007949F7">
            <w:pPr>
              <w:spacing w:line="360" w:lineRule="auto"/>
              <w:rPr>
                <w:i/>
                <w:iCs/>
                <w:color w:val="000000"/>
              </w:rPr>
            </w:pPr>
            <w:r>
              <w:rPr>
                <w:i/>
                <w:iCs/>
                <w:color w:val="000000"/>
              </w:rPr>
              <w:t>Depreciación Mobiliario y Equipos</w:t>
            </w:r>
          </w:p>
        </w:tc>
        <w:tc>
          <w:tcPr>
            <w:tcW w:w="1400" w:type="dxa"/>
            <w:tcBorders>
              <w:top w:val="nil"/>
              <w:left w:val="nil"/>
              <w:bottom w:val="nil"/>
              <w:right w:val="nil"/>
            </w:tcBorders>
            <w:shd w:val="clear" w:color="auto" w:fill="auto"/>
            <w:noWrap/>
            <w:hideMark/>
          </w:tcPr>
          <w:p w14:paraId="32E761D0" w14:textId="2DFEAFC9" w:rsidR="00DD1E13" w:rsidRDefault="00DB0042" w:rsidP="007949F7">
            <w:pPr>
              <w:spacing w:line="360" w:lineRule="auto"/>
              <w:jc w:val="right"/>
              <w:rPr>
                <w:i/>
                <w:iCs/>
                <w:color w:val="000000"/>
              </w:rPr>
            </w:pPr>
            <w:r w:rsidRPr="00FD15D4">
              <w:rPr>
                <w:i/>
                <w:iCs/>
                <w:color w:val="000000"/>
              </w:rPr>
              <w:t>687</w:t>
            </w:r>
            <w:r w:rsidR="00DF5AD1" w:rsidRPr="00FD15D4">
              <w:rPr>
                <w:i/>
                <w:iCs/>
                <w:color w:val="000000"/>
              </w:rPr>
              <w:t>,533.35</w:t>
            </w:r>
          </w:p>
        </w:tc>
        <w:tc>
          <w:tcPr>
            <w:tcW w:w="1669" w:type="dxa"/>
            <w:tcBorders>
              <w:top w:val="nil"/>
              <w:left w:val="nil"/>
              <w:bottom w:val="nil"/>
              <w:right w:val="nil"/>
            </w:tcBorders>
          </w:tcPr>
          <w:p w14:paraId="13C7743F" w14:textId="4A7A4B3B" w:rsidR="00DD1E13" w:rsidRDefault="00DD1E13" w:rsidP="007949F7">
            <w:pPr>
              <w:spacing w:line="360" w:lineRule="auto"/>
              <w:jc w:val="right"/>
              <w:rPr>
                <w:i/>
                <w:iCs/>
                <w:color w:val="000000"/>
              </w:rPr>
            </w:pPr>
            <w:r>
              <w:rPr>
                <w:i/>
                <w:iCs/>
                <w:color w:val="000000"/>
              </w:rPr>
              <w:t>713,073.80</w:t>
            </w:r>
          </w:p>
        </w:tc>
        <w:tc>
          <w:tcPr>
            <w:tcW w:w="1669" w:type="dxa"/>
            <w:tcBorders>
              <w:top w:val="nil"/>
              <w:left w:val="nil"/>
              <w:bottom w:val="nil"/>
              <w:right w:val="nil"/>
            </w:tcBorders>
            <w:shd w:val="clear" w:color="auto" w:fill="auto"/>
            <w:noWrap/>
            <w:vAlign w:val="center"/>
          </w:tcPr>
          <w:p w14:paraId="32E761D1" w14:textId="548B8139" w:rsidR="00DD1E13" w:rsidRDefault="00DD1E13" w:rsidP="007949F7">
            <w:pPr>
              <w:spacing w:line="360" w:lineRule="auto"/>
              <w:jc w:val="right"/>
              <w:rPr>
                <w:i/>
                <w:iCs/>
                <w:color w:val="000000"/>
              </w:rPr>
            </w:pPr>
          </w:p>
        </w:tc>
      </w:tr>
      <w:tr w:rsidR="00DD1E13" w14:paraId="32E761D6" w14:textId="77777777" w:rsidTr="00DD1E13">
        <w:trPr>
          <w:trHeight w:val="282"/>
        </w:trPr>
        <w:tc>
          <w:tcPr>
            <w:tcW w:w="5457" w:type="dxa"/>
            <w:tcBorders>
              <w:top w:val="nil"/>
              <w:left w:val="nil"/>
              <w:bottom w:val="nil"/>
              <w:right w:val="nil"/>
            </w:tcBorders>
            <w:shd w:val="clear" w:color="auto" w:fill="auto"/>
            <w:noWrap/>
            <w:hideMark/>
          </w:tcPr>
          <w:p w14:paraId="32E761D3" w14:textId="77777777" w:rsidR="00DD1E13" w:rsidRDefault="00DD1E13" w:rsidP="007949F7">
            <w:pPr>
              <w:spacing w:line="360" w:lineRule="auto"/>
              <w:rPr>
                <w:i/>
                <w:iCs/>
                <w:color w:val="000000"/>
              </w:rPr>
            </w:pPr>
            <w:r>
              <w:rPr>
                <w:i/>
                <w:iCs/>
                <w:color w:val="000000"/>
              </w:rPr>
              <w:t>Depreciación Equipo de Transporte</w:t>
            </w:r>
          </w:p>
        </w:tc>
        <w:tc>
          <w:tcPr>
            <w:tcW w:w="1400" w:type="dxa"/>
            <w:tcBorders>
              <w:top w:val="nil"/>
              <w:left w:val="nil"/>
              <w:bottom w:val="nil"/>
              <w:right w:val="nil"/>
            </w:tcBorders>
            <w:shd w:val="clear" w:color="auto" w:fill="auto"/>
            <w:noWrap/>
            <w:hideMark/>
          </w:tcPr>
          <w:p w14:paraId="32E761D4" w14:textId="101E3362" w:rsidR="00DD1E13" w:rsidRDefault="00DF5AD1" w:rsidP="007949F7">
            <w:pPr>
              <w:spacing w:line="360" w:lineRule="auto"/>
              <w:jc w:val="right"/>
              <w:rPr>
                <w:i/>
                <w:iCs/>
                <w:color w:val="000000"/>
              </w:rPr>
            </w:pPr>
            <w:r w:rsidRPr="00FD15D4">
              <w:rPr>
                <w:i/>
                <w:iCs/>
                <w:color w:val="000000"/>
              </w:rPr>
              <w:t>716,382.67</w:t>
            </w:r>
          </w:p>
        </w:tc>
        <w:tc>
          <w:tcPr>
            <w:tcW w:w="1669" w:type="dxa"/>
            <w:tcBorders>
              <w:top w:val="nil"/>
              <w:left w:val="nil"/>
              <w:bottom w:val="nil"/>
              <w:right w:val="nil"/>
            </w:tcBorders>
          </w:tcPr>
          <w:p w14:paraId="30088215" w14:textId="50A4E4E2" w:rsidR="00DD1E13" w:rsidRDefault="00DD1E13" w:rsidP="007949F7">
            <w:pPr>
              <w:spacing w:line="360" w:lineRule="auto"/>
              <w:jc w:val="right"/>
              <w:rPr>
                <w:i/>
                <w:iCs/>
                <w:color w:val="000000"/>
              </w:rPr>
            </w:pPr>
            <w:r>
              <w:rPr>
                <w:i/>
                <w:iCs/>
                <w:color w:val="000000"/>
              </w:rPr>
              <w:t>914,465.72</w:t>
            </w:r>
          </w:p>
        </w:tc>
        <w:tc>
          <w:tcPr>
            <w:tcW w:w="1669" w:type="dxa"/>
            <w:tcBorders>
              <w:top w:val="nil"/>
              <w:left w:val="nil"/>
              <w:bottom w:val="nil"/>
              <w:right w:val="nil"/>
            </w:tcBorders>
            <w:shd w:val="clear" w:color="auto" w:fill="auto"/>
            <w:noWrap/>
            <w:vAlign w:val="center"/>
          </w:tcPr>
          <w:p w14:paraId="32E761D5" w14:textId="06E93D77" w:rsidR="00DD1E13" w:rsidRDefault="00DD1E13" w:rsidP="007949F7">
            <w:pPr>
              <w:spacing w:line="360" w:lineRule="auto"/>
              <w:jc w:val="right"/>
              <w:rPr>
                <w:i/>
                <w:iCs/>
                <w:color w:val="000000"/>
              </w:rPr>
            </w:pPr>
          </w:p>
        </w:tc>
      </w:tr>
      <w:tr w:rsidR="00DD1E13" w14:paraId="32E761DA" w14:textId="77777777" w:rsidTr="00DD1E13">
        <w:trPr>
          <w:trHeight w:val="282"/>
        </w:trPr>
        <w:tc>
          <w:tcPr>
            <w:tcW w:w="5457" w:type="dxa"/>
            <w:tcBorders>
              <w:top w:val="nil"/>
              <w:left w:val="nil"/>
              <w:bottom w:val="nil"/>
              <w:right w:val="nil"/>
            </w:tcBorders>
            <w:shd w:val="clear" w:color="auto" w:fill="auto"/>
            <w:noWrap/>
            <w:hideMark/>
          </w:tcPr>
          <w:p w14:paraId="32E761D7" w14:textId="77777777" w:rsidR="00DD1E13" w:rsidRDefault="00DD1E13" w:rsidP="007949F7">
            <w:pPr>
              <w:spacing w:line="360" w:lineRule="auto"/>
              <w:rPr>
                <w:i/>
                <w:iCs/>
                <w:color w:val="000000"/>
              </w:rPr>
            </w:pPr>
            <w:r>
              <w:rPr>
                <w:i/>
                <w:iCs/>
                <w:color w:val="000000"/>
              </w:rPr>
              <w:t>Depreciación Equipos de Cómputos</w:t>
            </w:r>
          </w:p>
        </w:tc>
        <w:tc>
          <w:tcPr>
            <w:tcW w:w="1400" w:type="dxa"/>
            <w:tcBorders>
              <w:top w:val="nil"/>
              <w:left w:val="nil"/>
              <w:bottom w:val="nil"/>
              <w:right w:val="nil"/>
            </w:tcBorders>
            <w:shd w:val="clear" w:color="auto" w:fill="auto"/>
            <w:noWrap/>
            <w:hideMark/>
          </w:tcPr>
          <w:p w14:paraId="32E761D8" w14:textId="22D41636" w:rsidR="00DD1E13" w:rsidRDefault="00DF5AD1" w:rsidP="007949F7">
            <w:pPr>
              <w:spacing w:line="360" w:lineRule="auto"/>
              <w:jc w:val="right"/>
              <w:rPr>
                <w:i/>
                <w:iCs/>
                <w:color w:val="000000"/>
              </w:rPr>
            </w:pPr>
            <w:r w:rsidRPr="00FD15D4">
              <w:rPr>
                <w:i/>
                <w:iCs/>
                <w:color w:val="000000"/>
              </w:rPr>
              <w:t>178,666.08</w:t>
            </w:r>
          </w:p>
        </w:tc>
        <w:tc>
          <w:tcPr>
            <w:tcW w:w="1669" w:type="dxa"/>
            <w:tcBorders>
              <w:top w:val="nil"/>
              <w:left w:val="nil"/>
              <w:bottom w:val="nil"/>
              <w:right w:val="nil"/>
            </w:tcBorders>
          </w:tcPr>
          <w:p w14:paraId="48325944" w14:textId="60ED92C2" w:rsidR="00DD1E13" w:rsidRDefault="00DD1E13" w:rsidP="007949F7">
            <w:pPr>
              <w:spacing w:line="360" w:lineRule="auto"/>
              <w:jc w:val="right"/>
              <w:rPr>
                <w:i/>
                <w:iCs/>
                <w:color w:val="000000"/>
              </w:rPr>
            </w:pPr>
            <w:r>
              <w:rPr>
                <w:i/>
                <w:iCs/>
                <w:color w:val="000000"/>
              </w:rPr>
              <w:t>380,185.96</w:t>
            </w:r>
          </w:p>
        </w:tc>
        <w:tc>
          <w:tcPr>
            <w:tcW w:w="1669" w:type="dxa"/>
            <w:tcBorders>
              <w:top w:val="nil"/>
              <w:left w:val="nil"/>
              <w:bottom w:val="nil"/>
              <w:right w:val="nil"/>
            </w:tcBorders>
            <w:shd w:val="clear" w:color="auto" w:fill="auto"/>
            <w:noWrap/>
            <w:vAlign w:val="center"/>
          </w:tcPr>
          <w:p w14:paraId="32E761D9" w14:textId="3CE7C09E" w:rsidR="00DD1E13" w:rsidRDefault="00DD1E13" w:rsidP="007949F7">
            <w:pPr>
              <w:spacing w:line="360" w:lineRule="auto"/>
              <w:jc w:val="right"/>
              <w:rPr>
                <w:i/>
                <w:iCs/>
                <w:color w:val="000000"/>
              </w:rPr>
            </w:pPr>
          </w:p>
        </w:tc>
      </w:tr>
      <w:tr w:rsidR="00DD1E13" w14:paraId="32E761DE" w14:textId="77777777" w:rsidTr="00DD1E13">
        <w:trPr>
          <w:trHeight w:val="282"/>
        </w:trPr>
        <w:tc>
          <w:tcPr>
            <w:tcW w:w="5457" w:type="dxa"/>
            <w:tcBorders>
              <w:top w:val="nil"/>
              <w:left w:val="nil"/>
              <w:bottom w:val="nil"/>
              <w:right w:val="nil"/>
            </w:tcBorders>
            <w:shd w:val="clear" w:color="auto" w:fill="auto"/>
            <w:noWrap/>
            <w:hideMark/>
          </w:tcPr>
          <w:p w14:paraId="32E761DB" w14:textId="77777777" w:rsidR="00DD1E13" w:rsidRDefault="00DD1E13" w:rsidP="007949F7">
            <w:pPr>
              <w:spacing w:line="360" w:lineRule="auto"/>
              <w:rPr>
                <w:i/>
                <w:iCs/>
                <w:color w:val="000000"/>
              </w:rPr>
            </w:pPr>
            <w:r>
              <w:rPr>
                <w:i/>
                <w:iCs/>
                <w:color w:val="000000"/>
              </w:rPr>
              <w:t>Depreciación Equipo Militar y de Seguridad</w:t>
            </w:r>
          </w:p>
        </w:tc>
        <w:tc>
          <w:tcPr>
            <w:tcW w:w="1400" w:type="dxa"/>
            <w:tcBorders>
              <w:top w:val="nil"/>
              <w:left w:val="nil"/>
              <w:bottom w:val="nil"/>
              <w:right w:val="nil"/>
            </w:tcBorders>
            <w:shd w:val="clear" w:color="auto" w:fill="auto"/>
            <w:noWrap/>
            <w:hideMark/>
          </w:tcPr>
          <w:p w14:paraId="32E761DC" w14:textId="23569DB5" w:rsidR="00DD1E13" w:rsidRDefault="002E09B2" w:rsidP="007949F7">
            <w:pPr>
              <w:spacing w:line="360" w:lineRule="auto"/>
              <w:jc w:val="right"/>
              <w:rPr>
                <w:i/>
                <w:iCs/>
                <w:color w:val="000000"/>
              </w:rPr>
            </w:pPr>
            <w:r w:rsidRPr="00FD15D4">
              <w:rPr>
                <w:i/>
                <w:iCs/>
                <w:color w:val="000000"/>
              </w:rPr>
              <w:t>17,378.18</w:t>
            </w:r>
          </w:p>
        </w:tc>
        <w:tc>
          <w:tcPr>
            <w:tcW w:w="1669" w:type="dxa"/>
            <w:tcBorders>
              <w:top w:val="nil"/>
              <w:left w:val="nil"/>
              <w:bottom w:val="nil"/>
              <w:right w:val="nil"/>
            </w:tcBorders>
          </w:tcPr>
          <w:p w14:paraId="351F6E17" w14:textId="15240275" w:rsidR="00DD1E13" w:rsidRDefault="00DD1E13" w:rsidP="007949F7">
            <w:pPr>
              <w:spacing w:line="360" w:lineRule="auto"/>
              <w:jc w:val="right"/>
              <w:rPr>
                <w:i/>
                <w:iCs/>
                <w:color w:val="000000"/>
              </w:rPr>
            </w:pPr>
            <w:r>
              <w:rPr>
                <w:i/>
                <w:iCs/>
                <w:color w:val="000000"/>
              </w:rPr>
              <w:t>69,514.32</w:t>
            </w:r>
          </w:p>
        </w:tc>
        <w:tc>
          <w:tcPr>
            <w:tcW w:w="1669" w:type="dxa"/>
            <w:tcBorders>
              <w:top w:val="nil"/>
              <w:left w:val="nil"/>
              <w:bottom w:val="nil"/>
              <w:right w:val="nil"/>
            </w:tcBorders>
            <w:shd w:val="clear" w:color="auto" w:fill="auto"/>
            <w:noWrap/>
            <w:vAlign w:val="center"/>
          </w:tcPr>
          <w:p w14:paraId="32E761DD" w14:textId="21D544B1" w:rsidR="00DD1E13" w:rsidRDefault="00DD1E13" w:rsidP="007949F7">
            <w:pPr>
              <w:spacing w:line="360" w:lineRule="auto"/>
              <w:jc w:val="right"/>
              <w:rPr>
                <w:i/>
                <w:iCs/>
                <w:color w:val="000000"/>
              </w:rPr>
            </w:pPr>
          </w:p>
        </w:tc>
      </w:tr>
      <w:tr w:rsidR="00DD1E13" w14:paraId="32E761E2" w14:textId="77777777" w:rsidTr="00DD1E13">
        <w:trPr>
          <w:trHeight w:val="282"/>
        </w:trPr>
        <w:tc>
          <w:tcPr>
            <w:tcW w:w="5457" w:type="dxa"/>
            <w:tcBorders>
              <w:top w:val="nil"/>
              <w:left w:val="nil"/>
              <w:bottom w:val="nil"/>
              <w:right w:val="nil"/>
            </w:tcBorders>
            <w:shd w:val="clear" w:color="auto" w:fill="auto"/>
            <w:noWrap/>
            <w:hideMark/>
          </w:tcPr>
          <w:p w14:paraId="32E761DF" w14:textId="77777777" w:rsidR="00DD1E13" w:rsidRDefault="00DD1E13" w:rsidP="007949F7">
            <w:pPr>
              <w:spacing w:line="360" w:lineRule="auto"/>
              <w:rPr>
                <w:i/>
                <w:iCs/>
                <w:color w:val="000000"/>
              </w:rPr>
            </w:pPr>
            <w:r>
              <w:rPr>
                <w:i/>
                <w:iCs/>
                <w:color w:val="000000"/>
              </w:rPr>
              <w:t>Depreciación Equipos Varios</w:t>
            </w:r>
          </w:p>
        </w:tc>
        <w:tc>
          <w:tcPr>
            <w:tcW w:w="1400" w:type="dxa"/>
            <w:tcBorders>
              <w:top w:val="nil"/>
              <w:left w:val="nil"/>
              <w:bottom w:val="nil"/>
              <w:right w:val="nil"/>
            </w:tcBorders>
            <w:shd w:val="clear" w:color="auto" w:fill="auto"/>
            <w:noWrap/>
            <w:hideMark/>
          </w:tcPr>
          <w:p w14:paraId="32E761E0" w14:textId="1A309770" w:rsidR="00DD1E13" w:rsidRDefault="002E09B2" w:rsidP="007949F7">
            <w:pPr>
              <w:spacing w:line="360" w:lineRule="auto"/>
              <w:jc w:val="right"/>
              <w:rPr>
                <w:i/>
                <w:iCs/>
                <w:color w:val="000000"/>
              </w:rPr>
            </w:pPr>
            <w:r w:rsidRPr="00FD15D4">
              <w:rPr>
                <w:i/>
                <w:iCs/>
                <w:color w:val="000000"/>
              </w:rPr>
              <w:t>23,680.77</w:t>
            </w:r>
          </w:p>
        </w:tc>
        <w:tc>
          <w:tcPr>
            <w:tcW w:w="1669" w:type="dxa"/>
            <w:tcBorders>
              <w:top w:val="nil"/>
              <w:left w:val="nil"/>
              <w:bottom w:val="nil"/>
              <w:right w:val="nil"/>
            </w:tcBorders>
          </w:tcPr>
          <w:p w14:paraId="077EC72C" w14:textId="217EFE26" w:rsidR="00DD1E13" w:rsidRDefault="00DD1E13" w:rsidP="007949F7">
            <w:pPr>
              <w:spacing w:line="360" w:lineRule="auto"/>
              <w:jc w:val="right"/>
              <w:rPr>
                <w:i/>
                <w:iCs/>
                <w:color w:val="000000"/>
              </w:rPr>
            </w:pPr>
            <w:r>
              <w:rPr>
                <w:i/>
                <w:iCs/>
                <w:color w:val="000000"/>
              </w:rPr>
              <w:t>25,430.41</w:t>
            </w:r>
          </w:p>
        </w:tc>
        <w:tc>
          <w:tcPr>
            <w:tcW w:w="1669" w:type="dxa"/>
            <w:tcBorders>
              <w:top w:val="nil"/>
              <w:left w:val="nil"/>
              <w:bottom w:val="nil"/>
              <w:right w:val="nil"/>
            </w:tcBorders>
            <w:shd w:val="clear" w:color="auto" w:fill="auto"/>
            <w:noWrap/>
            <w:vAlign w:val="center"/>
          </w:tcPr>
          <w:p w14:paraId="32E761E1" w14:textId="0DB9053C" w:rsidR="00DD1E13" w:rsidRDefault="00DD1E13" w:rsidP="007949F7">
            <w:pPr>
              <w:spacing w:line="360" w:lineRule="auto"/>
              <w:jc w:val="right"/>
              <w:rPr>
                <w:i/>
                <w:iCs/>
                <w:color w:val="000000"/>
              </w:rPr>
            </w:pPr>
          </w:p>
        </w:tc>
      </w:tr>
      <w:tr w:rsidR="00DD1E13" w14:paraId="32E761E6" w14:textId="77777777" w:rsidTr="00DD1E13">
        <w:trPr>
          <w:trHeight w:val="282"/>
        </w:trPr>
        <w:tc>
          <w:tcPr>
            <w:tcW w:w="5457" w:type="dxa"/>
            <w:tcBorders>
              <w:top w:val="nil"/>
              <w:left w:val="nil"/>
              <w:bottom w:val="nil"/>
              <w:right w:val="nil"/>
            </w:tcBorders>
            <w:shd w:val="clear" w:color="auto" w:fill="auto"/>
            <w:noWrap/>
            <w:hideMark/>
          </w:tcPr>
          <w:p w14:paraId="32E761E3" w14:textId="77777777" w:rsidR="00DD1E13" w:rsidRDefault="00DD1E13" w:rsidP="007949F7">
            <w:pPr>
              <w:spacing w:line="360" w:lineRule="auto"/>
              <w:rPr>
                <w:i/>
                <w:iCs/>
                <w:color w:val="000000"/>
              </w:rPr>
            </w:pPr>
            <w:r>
              <w:rPr>
                <w:i/>
                <w:iCs/>
                <w:color w:val="000000"/>
              </w:rPr>
              <w:t>Depreciación Programas de Cómputos</w:t>
            </w:r>
          </w:p>
        </w:tc>
        <w:tc>
          <w:tcPr>
            <w:tcW w:w="1400" w:type="dxa"/>
            <w:tcBorders>
              <w:top w:val="nil"/>
              <w:left w:val="nil"/>
              <w:bottom w:val="nil"/>
              <w:right w:val="nil"/>
            </w:tcBorders>
            <w:shd w:val="clear" w:color="auto" w:fill="auto"/>
            <w:noWrap/>
            <w:hideMark/>
          </w:tcPr>
          <w:p w14:paraId="32E761E4" w14:textId="054DC61E" w:rsidR="00DD1E13" w:rsidRDefault="00FD15D4" w:rsidP="007949F7">
            <w:pPr>
              <w:spacing w:line="360" w:lineRule="auto"/>
              <w:jc w:val="right"/>
              <w:rPr>
                <w:i/>
                <w:iCs/>
                <w:color w:val="000000"/>
              </w:rPr>
            </w:pPr>
            <w:r>
              <w:rPr>
                <w:i/>
                <w:iCs/>
                <w:color w:val="000000"/>
              </w:rPr>
              <w:t>0</w:t>
            </w:r>
            <w:r w:rsidRPr="00FD15D4">
              <w:rPr>
                <w:i/>
                <w:iCs/>
                <w:color w:val="000000"/>
              </w:rPr>
              <w:t>.00</w:t>
            </w:r>
          </w:p>
        </w:tc>
        <w:tc>
          <w:tcPr>
            <w:tcW w:w="1669" w:type="dxa"/>
            <w:tcBorders>
              <w:top w:val="nil"/>
              <w:left w:val="nil"/>
              <w:bottom w:val="nil"/>
              <w:right w:val="nil"/>
            </w:tcBorders>
          </w:tcPr>
          <w:p w14:paraId="17B6B35B" w14:textId="1FE8C1C3" w:rsidR="00DD1E13" w:rsidRDefault="00DD1E13" w:rsidP="007949F7">
            <w:pPr>
              <w:spacing w:line="360" w:lineRule="auto"/>
              <w:jc w:val="right"/>
              <w:rPr>
                <w:i/>
                <w:iCs/>
                <w:color w:val="000000"/>
              </w:rPr>
            </w:pPr>
            <w:r>
              <w:rPr>
                <w:i/>
                <w:iCs/>
                <w:color w:val="000000"/>
              </w:rPr>
              <w:t>389,975.40</w:t>
            </w:r>
          </w:p>
        </w:tc>
        <w:tc>
          <w:tcPr>
            <w:tcW w:w="1669" w:type="dxa"/>
            <w:tcBorders>
              <w:top w:val="nil"/>
              <w:left w:val="nil"/>
              <w:bottom w:val="nil"/>
              <w:right w:val="nil"/>
            </w:tcBorders>
            <w:shd w:val="clear" w:color="auto" w:fill="auto"/>
            <w:noWrap/>
            <w:vAlign w:val="center"/>
          </w:tcPr>
          <w:p w14:paraId="32E761E5" w14:textId="0E0A747D" w:rsidR="00DD1E13" w:rsidRDefault="00DD1E13" w:rsidP="007949F7">
            <w:pPr>
              <w:spacing w:line="360" w:lineRule="auto"/>
              <w:jc w:val="right"/>
              <w:rPr>
                <w:i/>
                <w:iCs/>
                <w:color w:val="000000"/>
              </w:rPr>
            </w:pPr>
          </w:p>
        </w:tc>
      </w:tr>
      <w:tr w:rsidR="00DD1E13" w14:paraId="32E761EA" w14:textId="77777777" w:rsidTr="00DD1E13">
        <w:trPr>
          <w:trHeight w:val="282"/>
        </w:trPr>
        <w:tc>
          <w:tcPr>
            <w:tcW w:w="5457" w:type="dxa"/>
            <w:tcBorders>
              <w:top w:val="nil"/>
              <w:left w:val="nil"/>
              <w:bottom w:val="nil"/>
              <w:right w:val="nil"/>
            </w:tcBorders>
            <w:shd w:val="clear" w:color="auto" w:fill="auto"/>
            <w:noWrap/>
            <w:hideMark/>
          </w:tcPr>
          <w:p w14:paraId="32E761E7" w14:textId="77777777" w:rsidR="00DD1E13" w:rsidRDefault="00DD1E13" w:rsidP="007949F7">
            <w:pPr>
              <w:spacing w:line="360" w:lineRule="auto"/>
              <w:rPr>
                <w:i/>
                <w:iCs/>
                <w:color w:val="000000"/>
              </w:rPr>
            </w:pPr>
            <w:r>
              <w:rPr>
                <w:i/>
                <w:iCs/>
                <w:color w:val="000000"/>
              </w:rPr>
              <w:t>Depreciación Licencias de Cómputos</w:t>
            </w:r>
          </w:p>
        </w:tc>
        <w:tc>
          <w:tcPr>
            <w:tcW w:w="1400" w:type="dxa"/>
            <w:tcBorders>
              <w:top w:val="nil"/>
              <w:left w:val="nil"/>
              <w:bottom w:val="nil"/>
              <w:right w:val="nil"/>
            </w:tcBorders>
            <w:shd w:val="clear" w:color="auto" w:fill="auto"/>
            <w:noWrap/>
            <w:hideMark/>
          </w:tcPr>
          <w:p w14:paraId="32E761E8" w14:textId="3E49CE66" w:rsidR="00DD1E13" w:rsidRDefault="00FD15D4" w:rsidP="007949F7">
            <w:pPr>
              <w:spacing w:line="360" w:lineRule="auto"/>
              <w:jc w:val="right"/>
              <w:rPr>
                <w:i/>
                <w:iCs/>
                <w:color w:val="000000"/>
              </w:rPr>
            </w:pPr>
            <w:r>
              <w:rPr>
                <w:i/>
                <w:iCs/>
                <w:color w:val="000000"/>
              </w:rPr>
              <w:t>0</w:t>
            </w:r>
            <w:r w:rsidRPr="00FD15D4">
              <w:rPr>
                <w:i/>
                <w:iCs/>
                <w:color w:val="000000"/>
              </w:rPr>
              <w:t>.00</w:t>
            </w:r>
          </w:p>
        </w:tc>
        <w:tc>
          <w:tcPr>
            <w:tcW w:w="1669" w:type="dxa"/>
            <w:tcBorders>
              <w:top w:val="nil"/>
              <w:left w:val="nil"/>
              <w:bottom w:val="nil"/>
              <w:right w:val="nil"/>
            </w:tcBorders>
          </w:tcPr>
          <w:p w14:paraId="0069E4C0" w14:textId="3F5E1408" w:rsidR="00DD1E13" w:rsidRDefault="00DD1E13" w:rsidP="007949F7">
            <w:pPr>
              <w:spacing w:line="360" w:lineRule="auto"/>
              <w:jc w:val="right"/>
              <w:rPr>
                <w:i/>
                <w:iCs/>
                <w:color w:val="000000"/>
              </w:rPr>
            </w:pPr>
            <w:r>
              <w:rPr>
                <w:i/>
                <w:iCs/>
                <w:color w:val="000000"/>
              </w:rPr>
              <w:t>590,002.66</w:t>
            </w:r>
          </w:p>
        </w:tc>
        <w:tc>
          <w:tcPr>
            <w:tcW w:w="1669" w:type="dxa"/>
            <w:tcBorders>
              <w:top w:val="nil"/>
              <w:left w:val="nil"/>
              <w:bottom w:val="nil"/>
              <w:right w:val="nil"/>
            </w:tcBorders>
            <w:shd w:val="clear" w:color="auto" w:fill="auto"/>
            <w:noWrap/>
            <w:vAlign w:val="center"/>
          </w:tcPr>
          <w:p w14:paraId="32E761E9" w14:textId="4223A0E6" w:rsidR="00DD1E13" w:rsidRDefault="00DD1E13" w:rsidP="007949F7">
            <w:pPr>
              <w:spacing w:line="360" w:lineRule="auto"/>
              <w:jc w:val="right"/>
              <w:rPr>
                <w:i/>
                <w:iCs/>
                <w:color w:val="000000"/>
              </w:rPr>
            </w:pPr>
          </w:p>
        </w:tc>
      </w:tr>
      <w:tr w:rsidR="00DD1E13" w14:paraId="32E761EE" w14:textId="77777777" w:rsidTr="00DD1E13">
        <w:trPr>
          <w:trHeight w:val="282"/>
        </w:trPr>
        <w:tc>
          <w:tcPr>
            <w:tcW w:w="5457" w:type="dxa"/>
            <w:tcBorders>
              <w:top w:val="nil"/>
              <w:left w:val="nil"/>
              <w:bottom w:val="nil"/>
              <w:right w:val="nil"/>
            </w:tcBorders>
            <w:shd w:val="clear" w:color="auto" w:fill="auto"/>
            <w:noWrap/>
            <w:hideMark/>
          </w:tcPr>
          <w:p w14:paraId="32E761EB" w14:textId="77777777" w:rsidR="00DD1E13" w:rsidRDefault="00DD1E13" w:rsidP="007949F7">
            <w:pPr>
              <w:spacing w:line="360" w:lineRule="auto"/>
              <w:rPr>
                <w:i/>
                <w:iCs/>
                <w:color w:val="000000"/>
              </w:rPr>
            </w:pPr>
            <w:r>
              <w:rPr>
                <w:i/>
                <w:iCs/>
                <w:color w:val="000000"/>
              </w:rPr>
              <w:t>Depreciación Equipos de Televisión</w:t>
            </w:r>
          </w:p>
        </w:tc>
        <w:tc>
          <w:tcPr>
            <w:tcW w:w="1400" w:type="dxa"/>
            <w:tcBorders>
              <w:top w:val="nil"/>
              <w:left w:val="nil"/>
              <w:bottom w:val="nil"/>
              <w:right w:val="nil"/>
            </w:tcBorders>
            <w:shd w:val="clear" w:color="auto" w:fill="auto"/>
            <w:noWrap/>
            <w:hideMark/>
          </w:tcPr>
          <w:p w14:paraId="32E761EC" w14:textId="2F4F41FB" w:rsidR="00DD1E13" w:rsidRDefault="002E09B2" w:rsidP="007949F7">
            <w:pPr>
              <w:spacing w:line="360" w:lineRule="auto"/>
              <w:jc w:val="right"/>
              <w:rPr>
                <w:i/>
                <w:iCs/>
                <w:color w:val="000000"/>
              </w:rPr>
            </w:pPr>
            <w:r w:rsidRPr="00FD15D4">
              <w:rPr>
                <w:i/>
                <w:iCs/>
                <w:color w:val="000000"/>
              </w:rPr>
              <w:t>19,985.45</w:t>
            </w:r>
          </w:p>
        </w:tc>
        <w:tc>
          <w:tcPr>
            <w:tcW w:w="1669" w:type="dxa"/>
            <w:tcBorders>
              <w:top w:val="nil"/>
              <w:left w:val="nil"/>
              <w:bottom w:val="nil"/>
              <w:right w:val="nil"/>
            </w:tcBorders>
          </w:tcPr>
          <w:p w14:paraId="33E64A40" w14:textId="1733479B" w:rsidR="00DD1E13" w:rsidRDefault="00DD1E13" w:rsidP="007949F7">
            <w:pPr>
              <w:spacing w:line="360" w:lineRule="auto"/>
              <w:jc w:val="right"/>
              <w:rPr>
                <w:i/>
                <w:iCs/>
                <w:color w:val="000000"/>
              </w:rPr>
            </w:pPr>
            <w:r>
              <w:rPr>
                <w:i/>
                <w:iCs/>
                <w:color w:val="000000"/>
              </w:rPr>
              <w:t>29,856.36</w:t>
            </w:r>
          </w:p>
        </w:tc>
        <w:tc>
          <w:tcPr>
            <w:tcW w:w="1669" w:type="dxa"/>
            <w:tcBorders>
              <w:top w:val="nil"/>
              <w:left w:val="nil"/>
              <w:bottom w:val="nil"/>
              <w:right w:val="nil"/>
            </w:tcBorders>
            <w:shd w:val="clear" w:color="auto" w:fill="auto"/>
            <w:noWrap/>
            <w:vAlign w:val="center"/>
          </w:tcPr>
          <w:p w14:paraId="32E761ED" w14:textId="6BE067F3" w:rsidR="00DD1E13" w:rsidRDefault="00DD1E13" w:rsidP="007949F7">
            <w:pPr>
              <w:spacing w:line="360" w:lineRule="auto"/>
              <w:jc w:val="right"/>
              <w:rPr>
                <w:i/>
                <w:iCs/>
                <w:color w:val="000000"/>
              </w:rPr>
            </w:pPr>
          </w:p>
        </w:tc>
      </w:tr>
      <w:tr w:rsidR="00DD1E13" w14:paraId="32E761F2" w14:textId="77777777" w:rsidTr="00DD1E13">
        <w:trPr>
          <w:trHeight w:val="282"/>
        </w:trPr>
        <w:tc>
          <w:tcPr>
            <w:tcW w:w="5457" w:type="dxa"/>
            <w:tcBorders>
              <w:top w:val="nil"/>
              <w:left w:val="nil"/>
              <w:bottom w:val="nil"/>
              <w:right w:val="nil"/>
            </w:tcBorders>
            <w:shd w:val="clear" w:color="auto" w:fill="auto"/>
            <w:noWrap/>
            <w:hideMark/>
          </w:tcPr>
          <w:p w14:paraId="32E761EF" w14:textId="77777777" w:rsidR="00DD1E13" w:rsidRDefault="00DD1E13" w:rsidP="007949F7">
            <w:pPr>
              <w:spacing w:line="360" w:lineRule="auto"/>
              <w:rPr>
                <w:i/>
                <w:iCs/>
                <w:color w:val="000000"/>
              </w:rPr>
            </w:pPr>
            <w:r>
              <w:rPr>
                <w:i/>
                <w:iCs/>
                <w:color w:val="000000"/>
              </w:rPr>
              <w:t xml:space="preserve">Depreciación </w:t>
            </w:r>
            <w:proofErr w:type="spellStart"/>
            <w:r>
              <w:rPr>
                <w:i/>
                <w:iCs/>
                <w:color w:val="000000"/>
              </w:rPr>
              <w:t>Sist</w:t>
            </w:r>
            <w:proofErr w:type="spellEnd"/>
            <w:r>
              <w:rPr>
                <w:i/>
                <w:iCs/>
                <w:color w:val="000000"/>
              </w:rPr>
              <w:t xml:space="preserve">. Aire </w:t>
            </w:r>
            <w:proofErr w:type="spellStart"/>
            <w:r>
              <w:rPr>
                <w:i/>
                <w:iCs/>
                <w:color w:val="000000"/>
              </w:rPr>
              <w:t>Acond</w:t>
            </w:r>
            <w:proofErr w:type="spellEnd"/>
            <w:r>
              <w:rPr>
                <w:i/>
                <w:iCs/>
                <w:color w:val="000000"/>
              </w:rPr>
              <w:t xml:space="preserve">. </w:t>
            </w:r>
            <w:proofErr w:type="spellStart"/>
            <w:r>
              <w:rPr>
                <w:i/>
                <w:iCs/>
                <w:color w:val="000000"/>
              </w:rPr>
              <w:t>Calef</w:t>
            </w:r>
            <w:proofErr w:type="spellEnd"/>
            <w:r>
              <w:rPr>
                <w:i/>
                <w:iCs/>
                <w:color w:val="000000"/>
              </w:rPr>
              <w:t xml:space="preserve">. y </w:t>
            </w:r>
            <w:proofErr w:type="spellStart"/>
            <w:r>
              <w:rPr>
                <w:i/>
                <w:iCs/>
                <w:color w:val="000000"/>
              </w:rPr>
              <w:t>Refrig</w:t>
            </w:r>
            <w:proofErr w:type="spellEnd"/>
            <w:r>
              <w:rPr>
                <w:i/>
                <w:iCs/>
                <w:color w:val="000000"/>
              </w:rPr>
              <w:t>.</w:t>
            </w:r>
          </w:p>
        </w:tc>
        <w:tc>
          <w:tcPr>
            <w:tcW w:w="1400" w:type="dxa"/>
            <w:tcBorders>
              <w:top w:val="nil"/>
              <w:left w:val="nil"/>
              <w:bottom w:val="nil"/>
              <w:right w:val="nil"/>
            </w:tcBorders>
            <w:shd w:val="clear" w:color="auto" w:fill="auto"/>
            <w:noWrap/>
            <w:hideMark/>
          </w:tcPr>
          <w:p w14:paraId="32E761F0" w14:textId="6EBB117B" w:rsidR="00DD1E13" w:rsidRPr="00FD15D4" w:rsidRDefault="00072D19" w:rsidP="007949F7">
            <w:pPr>
              <w:spacing w:line="360" w:lineRule="auto"/>
              <w:jc w:val="right"/>
              <w:rPr>
                <w:i/>
                <w:iCs/>
                <w:color w:val="000000"/>
                <w:u w:val="single"/>
              </w:rPr>
            </w:pPr>
            <w:r w:rsidRPr="00FD15D4">
              <w:rPr>
                <w:i/>
                <w:iCs/>
                <w:color w:val="000000"/>
                <w:u w:val="single"/>
              </w:rPr>
              <w:t xml:space="preserve">   436,067.64</w:t>
            </w:r>
          </w:p>
        </w:tc>
        <w:tc>
          <w:tcPr>
            <w:tcW w:w="1669" w:type="dxa"/>
            <w:tcBorders>
              <w:top w:val="nil"/>
              <w:left w:val="nil"/>
              <w:bottom w:val="nil"/>
              <w:right w:val="nil"/>
            </w:tcBorders>
          </w:tcPr>
          <w:p w14:paraId="26781708" w14:textId="254ED0D7" w:rsidR="00DD1E13" w:rsidRDefault="00DD1E13" w:rsidP="007949F7">
            <w:pPr>
              <w:spacing w:line="360" w:lineRule="auto"/>
              <w:jc w:val="right"/>
              <w:rPr>
                <w:i/>
                <w:iCs/>
                <w:color w:val="000000"/>
                <w:u w:val="single"/>
              </w:rPr>
            </w:pPr>
            <w:r>
              <w:rPr>
                <w:i/>
                <w:iCs/>
                <w:color w:val="000000"/>
                <w:u w:val="single"/>
              </w:rPr>
              <w:t xml:space="preserve">   381,323.40</w:t>
            </w:r>
          </w:p>
        </w:tc>
        <w:tc>
          <w:tcPr>
            <w:tcW w:w="1669" w:type="dxa"/>
            <w:tcBorders>
              <w:top w:val="nil"/>
              <w:left w:val="nil"/>
              <w:bottom w:val="nil"/>
              <w:right w:val="nil"/>
            </w:tcBorders>
            <w:shd w:val="clear" w:color="auto" w:fill="auto"/>
            <w:noWrap/>
            <w:vAlign w:val="center"/>
          </w:tcPr>
          <w:p w14:paraId="32E761F1" w14:textId="1B00D1A9" w:rsidR="00DD1E13" w:rsidRDefault="00DD1E13" w:rsidP="007949F7">
            <w:pPr>
              <w:spacing w:line="360" w:lineRule="auto"/>
              <w:jc w:val="right"/>
              <w:rPr>
                <w:i/>
                <w:iCs/>
                <w:color w:val="000000"/>
                <w:u w:val="single"/>
              </w:rPr>
            </w:pPr>
          </w:p>
        </w:tc>
      </w:tr>
      <w:tr w:rsidR="00DD1E13" w14:paraId="32E761F6" w14:textId="77777777" w:rsidTr="00DD1E13">
        <w:trPr>
          <w:trHeight w:val="282"/>
        </w:trPr>
        <w:tc>
          <w:tcPr>
            <w:tcW w:w="5457" w:type="dxa"/>
            <w:tcBorders>
              <w:top w:val="nil"/>
              <w:left w:val="nil"/>
              <w:bottom w:val="nil"/>
              <w:right w:val="nil"/>
            </w:tcBorders>
            <w:shd w:val="clear" w:color="auto" w:fill="auto"/>
            <w:noWrap/>
            <w:hideMark/>
          </w:tcPr>
          <w:p w14:paraId="32E761F3" w14:textId="77777777" w:rsidR="00DD1E13" w:rsidRDefault="00DD1E13" w:rsidP="007949F7">
            <w:pPr>
              <w:spacing w:line="360" w:lineRule="auto"/>
              <w:rPr>
                <w:b/>
                <w:bCs/>
                <w:i/>
                <w:iCs/>
                <w:color w:val="000000"/>
              </w:rPr>
            </w:pPr>
            <w:proofErr w:type="gramStart"/>
            <w:r>
              <w:rPr>
                <w:b/>
                <w:bCs/>
                <w:i/>
                <w:iCs/>
                <w:color w:val="000000"/>
              </w:rPr>
              <w:t>Total</w:t>
            </w:r>
            <w:proofErr w:type="gramEnd"/>
            <w:r>
              <w:rPr>
                <w:b/>
                <w:bCs/>
                <w:i/>
                <w:iCs/>
                <w:color w:val="000000"/>
              </w:rPr>
              <w:t xml:space="preserve"> Gastos de Depreciación y Amortización</w:t>
            </w:r>
          </w:p>
        </w:tc>
        <w:tc>
          <w:tcPr>
            <w:tcW w:w="1400" w:type="dxa"/>
            <w:tcBorders>
              <w:top w:val="nil"/>
              <w:left w:val="nil"/>
              <w:bottom w:val="nil"/>
              <w:right w:val="nil"/>
            </w:tcBorders>
            <w:shd w:val="clear" w:color="auto" w:fill="auto"/>
            <w:noWrap/>
            <w:hideMark/>
          </w:tcPr>
          <w:p w14:paraId="32E761F4" w14:textId="014B3127" w:rsidR="00DD1E13" w:rsidRDefault="00E3549F" w:rsidP="007949F7">
            <w:pPr>
              <w:spacing w:line="360" w:lineRule="auto"/>
              <w:jc w:val="right"/>
              <w:rPr>
                <w:b/>
                <w:bCs/>
                <w:i/>
                <w:iCs/>
                <w:color w:val="000000"/>
                <w:u w:val="double"/>
              </w:rPr>
            </w:pPr>
            <w:r>
              <w:rPr>
                <w:b/>
                <w:bCs/>
                <w:i/>
                <w:iCs/>
                <w:color w:val="000000"/>
                <w:u w:val="double"/>
              </w:rPr>
              <w:t>3</w:t>
            </w:r>
            <w:r w:rsidRPr="000C3E47">
              <w:rPr>
                <w:b/>
                <w:bCs/>
                <w:i/>
                <w:iCs/>
                <w:color w:val="000000"/>
                <w:u w:val="double"/>
              </w:rPr>
              <w:t>,</w:t>
            </w:r>
            <w:r w:rsidR="000C3E47" w:rsidRPr="000C3E47">
              <w:rPr>
                <w:b/>
                <w:bCs/>
                <w:i/>
                <w:iCs/>
                <w:color w:val="000000"/>
                <w:u w:val="double"/>
              </w:rPr>
              <w:t>820,050.78</w:t>
            </w:r>
          </w:p>
        </w:tc>
        <w:tc>
          <w:tcPr>
            <w:tcW w:w="1669" w:type="dxa"/>
            <w:tcBorders>
              <w:top w:val="nil"/>
              <w:left w:val="nil"/>
              <w:bottom w:val="nil"/>
              <w:right w:val="nil"/>
            </w:tcBorders>
          </w:tcPr>
          <w:p w14:paraId="1C52260E" w14:textId="5BAE7F2D" w:rsidR="00DD1E13" w:rsidRDefault="00DD1E13" w:rsidP="007949F7">
            <w:pPr>
              <w:spacing w:line="360" w:lineRule="auto"/>
              <w:jc w:val="right"/>
              <w:rPr>
                <w:b/>
                <w:bCs/>
                <w:i/>
                <w:iCs/>
                <w:color w:val="000000"/>
                <w:u w:val="double"/>
              </w:rPr>
            </w:pPr>
            <w:r>
              <w:rPr>
                <w:b/>
                <w:bCs/>
                <w:i/>
                <w:iCs/>
                <w:color w:val="000000"/>
                <w:u w:val="double"/>
              </w:rPr>
              <w:t>5,234,184.67</w:t>
            </w:r>
          </w:p>
        </w:tc>
        <w:tc>
          <w:tcPr>
            <w:tcW w:w="1669" w:type="dxa"/>
            <w:tcBorders>
              <w:top w:val="nil"/>
              <w:left w:val="nil"/>
              <w:bottom w:val="nil"/>
              <w:right w:val="nil"/>
            </w:tcBorders>
            <w:shd w:val="clear" w:color="auto" w:fill="auto"/>
            <w:noWrap/>
          </w:tcPr>
          <w:p w14:paraId="32E761F5" w14:textId="097807F4" w:rsidR="00DD1E13" w:rsidRDefault="00DD1E13" w:rsidP="007949F7">
            <w:pPr>
              <w:spacing w:line="360" w:lineRule="auto"/>
              <w:jc w:val="right"/>
              <w:rPr>
                <w:b/>
                <w:bCs/>
                <w:i/>
                <w:iCs/>
                <w:color w:val="000000"/>
                <w:u w:val="double"/>
              </w:rPr>
            </w:pPr>
          </w:p>
        </w:tc>
      </w:tr>
    </w:tbl>
    <w:p w14:paraId="32E761F7" w14:textId="77777777" w:rsidR="006F5A35" w:rsidRDefault="006F5A35" w:rsidP="007949F7">
      <w:pPr>
        <w:spacing w:line="360" w:lineRule="auto"/>
        <w:jc w:val="both"/>
        <w:rPr>
          <w:b/>
          <w:i/>
          <w:sz w:val="28"/>
        </w:rPr>
      </w:pPr>
    </w:p>
    <w:p w14:paraId="32E761F8" w14:textId="3B379D42" w:rsidR="00746370" w:rsidRPr="002E6615" w:rsidRDefault="00746370" w:rsidP="007949F7">
      <w:pPr>
        <w:spacing w:line="360" w:lineRule="auto"/>
        <w:jc w:val="both"/>
        <w:rPr>
          <w:b/>
          <w:i/>
          <w:sz w:val="28"/>
        </w:rPr>
      </w:pPr>
      <w:r w:rsidRPr="002E6615">
        <w:rPr>
          <w:b/>
          <w:i/>
          <w:sz w:val="28"/>
        </w:rPr>
        <w:t xml:space="preserve">Nota </w:t>
      </w:r>
      <w:r w:rsidR="00CF7BA4">
        <w:rPr>
          <w:b/>
          <w:i/>
          <w:sz w:val="28"/>
        </w:rPr>
        <w:t>2</w:t>
      </w:r>
      <w:r w:rsidR="00B334CC">
        <w:rPr>
          <w:b/>
          <w:i/>
          <w:sz w:val="28"/>
        </w:rPr>
        <w:t>3</w:t>
      </w:r>
      <w:r w:rsidRPr="002E6615">
        <w:rPr>
          <w:b/>
          <w:i/>
          <w:sz w:val="28"/>
        </w:rPr>
        <w:t>:</w:t>
      </w:r>
      <w:r>
        <w:rPr>
          <w:b/>
          <w:i/>
          <w:sz w:val="28"/>
        </w:rPr>
        <w:t xml:space="preserve"> </w:t>
      </w:r>
      <w:r w:rsidR="00CF7BA4" w:rsidRPr="00CF7BA4">
        <w:rPr>
          <w:b/>
          <w:i/>
          <w:sz w:val="28"/>
        </w:rPr>
        <w:t>Otros gastos</w:t>
      </w:r>
    </w:p>
    <w:p w14:paraId="32E761F9" w14:textId="142BB856" w:rsidR="00757DA1" w:rsidRPr="00662AE7" w:rsidRDefault="00757DA1" w:rsidP="007949F7">
      <w:pPr>
        <w:spacing w:line="360" w:lineRule="auto"/>
        <w:jc w:val="both"/>
        <w:rPr>
          <w:b/>
          <w:i/>
          <w:sz w:val="10"/>
        </w:rPr>
      </w:pPr>
      <w:r w:rsidRPr="007E5274">
        <w:rPr>
          <w:rStyle w:val="CarCar"/>
          <w:rFonts w:ascii="Times New Roman" w:hAnsi="Times New Roman" w:cs="Times New Roman"/>
          <w:b w:val="0"/>
          <w:i/>
          <w:sz w:val="24"/>
        </w:rPr>
        <w:t xml:space="preserve">Los gastos corrientes por concepto de Servicios no Personales incurridos durante los períodos </w:t>
      </w:r>
      <w:r>
        <w:rPr>
          <w:rStyle w:val="CarCar"/>
          <w:rFonts w:ascii="Times New Roman" w:hAnsi="Times New Roman" w:cs="Times New Roman"/>
          <w:b w:val="0"/>
          <w:i/>
          <w:sz w:val="24"/>
        </w:rPr>
        <w:t>de Diciem</w:t>
      </w:r>
      <w:r w:rsidRPr="00BD400D">
        <w:rPr>
          <w:rStyle w:val="CarCar"/>
          <w:rFonts w:ascii="Times New Roman" w:hAnsi="Times New Roman" w:cs="Times New Roman"/>
          <w:b w:val="0"/>
          <w:i/>
          <w:sz w:val="24"/>
        </w:rPr>
        <w:t>bre</w:t>
      </w:r>
      <w:r w:rsidRPr="007E5274">
        <w:rPr>
          <w:rStyle w:val="CarCar"/>
          <w:rFonts w:ascii="Times New Roman" w:hAnsi="Times New Roman" w:cs="Times New Roman"/>
          <w:b w:val="0"/>
          <w:i/>
          <w:sz w:val="24"/>
        </w:rPr>
        <w:t xml:space="preserve"> </w:t>
      </w:r>
      <w:proofErr w:type="gramStart"/>
      <w:r w:rsidR="00657827" w:rsidRPr="00BD5449">
        <w:rPr>
          <w:rStyle w:val="CarCar"/>
          <w:rFonts w:ascii="Times New Roman" w:hAnsi="Times New Roman" w:cs="Times New Roman"/>
          <w:b w:val="0"/>
          <w:i/>
          <w:sz w:val="24"/>
        </w:rPr>
        <w:t>202</w:t>
      </w:r>
      <w:r w:rsidR="00657827">
        <w:rPr>
          <w:rStyle w:val="CarCar"/>
          <w:rFonts w:ascii="Times New Roman" w:hAnsi="Times New Roman" w:cs="Times New Roman"/>
          <w:b w:val="0"/>
          <w:i/>
          <w:sz w:val="24"/>
        </w:rPr>
        <w:t>2</w:t>
      </w:r>
      <w:r w:rsidR="00657827" w:rsidRPr="00BD5449">
        <w:rPr>
          <w:rStyle w:val="CarCar"/>
          <w:rFonts w:ascii="Times New Roman" w:hAnsi="Times New Roman" w:cs="Times New Roman"/>
          <w:b w:val="0"/>
          <w:i/>
          <w:sz w:val="24"/>
        </w:rPr>
        <w:t xml:space="preserve">  y</w:t>
      </w:r>
      <w:proofErr w:type="gramEnd"/>
      <w:r w:rsidR="00657827" w:rsidRPr="00BD5449">
        <w:rPr>
          <w:rStyle w:val="CarCar"/>
          <w:rFonts w:ascii="Times New Roman" w:hAnsi="Times New Roman" w:cs="Times New Roman"/>
          <w:b w:val="0"/>
          <w:i/>
          <w:sz w:val="24"/>
        </w:rPr>
        <w:t xml:space="preserve">  20</w:t>
      </w:r>
      <w:r w:rsidR="00657827">
        <w:rPr>
          <w:rStyle w:val="CarCar"/>
          <w:rFonts w:ascii="Times New Roman" w:hAnsi="Times New Roman" w:cs="Times New Roman"/>
          <w:b w:val="0"/>
          <w:i/>
          <w:sz w:val="24"/>
        </w:rPr>
        <w:t xml:space="preserve">21 </w:t>
      </w:r>
      <w:r w:rsidRPr="007E5274">
        <w:rPr>
          <w:rStyle w:val="CarCar"/>
          <w:rFonts w:ascii="Times New Roman" w:hAnsi="Times New Roman" w:cs="Times New Roman"/>
          <w:b w:val="0"/>
          <w:i/>
          <w:sz w:val="24"/>
        </w:rPr>
        <w:t xml:space="preserve">ascendieron a la suma de </w:t>
      </w:r>
      <w:r w:rsidR="00782339" w:rsidRPr="00782339">
        <w:rPr>
          <w:rStyle w:val="CarCar"/>
          <w:rFonts w:ascii="Times New Roman" w:hAnsi="Times New Roman" w:cs="Times New Roman"/>
          <w:b w:val="0"/>
          <w:i/>
          <w:sz w:val="24"/>
        </w:rPr>
        <w:t>RD$</w:t>
      </w:r>
      <w:r w:rsidR="00063F47">
        <w:rPr>
          <w:rStyle w:val="CarCar"/>
          <w:rFonts w:ascii="Times New Roman" w:hAnsi="Times New Roman" w:cs="Times New Roman"/>
          <w:b w:val="0"/>
          <w:i/>
          <w:sz w:val="24"/>
        </w:rPr>
        <w:t>46,292,206.88</w:t>
      </w:r>
      <w:r w:rsidR="006C1A85">
        <w:rPr>
          <w:rStyle w:val="CarCar"/>
          <w:rFonts w:ascii="Times New Roman" w:hAnsi="Times New Roman" w:cs="Times New Roman"/>
          <w:b w:val="0"/>
          <w:i/>
          <w:sz w:val="24"/>
        </w:rPr>
        <w:t xml:space="preserve"> </w:t>
      </w:r>
      <w:r w:rsidR="00782339" w:rsidRPr="00782339">
        <w:rPr>
          <w:rStyle w:val="CarCar"/>
          <w:rFonts w:ascii="Times New Roman" w:hAnsi="Times New Roman" w:cs="Times New Roman"/>
          <w:b w:val="0"/>
          <w:i/>
          <w:sz w:val="24"/>
        </w:rPr>
        <w:t>y RD$</w:t>
      </w:r>
      <w:r w:rsidR="00063F47" w:rsidRPr="00782339">
        <w:rPr>
          <w:rStyle w:val="CarCar"/>
          <w:rFonts w:ascii="Times New Roman" w:hAnsi="Times New Roman" w:cs="Times New Roman"/>
          <w:b w:val="0"/>
          <w:i/>
          <w:sz w:val="24"/>
        </w:rPr>
        <w:t>37,442,547.58</w:t>
      </w:r>
      <w:r w:rsidR="00782339" w:rsidRPr="00782339">
        <w:rPr>
          <w:rStyle w:val="CarCar"/>
          <w:rFonts w:ascii="Times New Roman" w:hAnsi="Times New Roman" w:cs="Times New Roman"/>
          <w:b w:val="0"/>
          <w:i/>
          <w:sz w:val="24"/>
        </w:rPr>
        <w:t>,  reflejando un incremento de RD$5,452,500.44, equivalente a 17% con relación año anterior.</w:t>
      </w:r>
    </w:p>
    <w:p w14:paraId="795EC608" w14:textId="77777777" w:rsidR="00181A72" w:rsidRDefault="00181A72" w:rsidP="007949F7">
      <w:pPr>
        <w:spacing w:line="360" w:lineRule="auto"/>
        <w:jc w:val="both"/>
        <w:rPr>
          <w:b/>
          <w:i/>
        </w:rPr>
      </w:pPr>
    </w:p>
    <w:p w14:paraId="094616C8" w14:textId="77777777" w:rsidR="00181A72" w:rsidRDefault="00181A72" w:rsidP="007949F7">
      <w:pPr>
        <w:spacing w:line="360" w:lineRule="auto"/>
        <w:jc w:val="both"/>
        <w:rPr>
          <w:b/>
          <w:i/>
        </w:rPr>
      </w:pPr>
    </w:p>
    <w:p w14:paraId="3D5C6819" w14:textId="43E02707" w:rsidR="001B27CA" w:rsidRPr="00630BB6" w:rsidRDefault="001B27CA" w:rsidP="007949F7">
      <w:pPr>
        <w:spacing w:line="360" w:lineRule="auto"/>
        <w:jc w:val="both"/>
        <w:rPr>
          <w:b/>
          <w:i/>
        </w:rPr>
      </w:pPr>
      <w:r w:rsidRPr="00630BB6">
        <w:rPr>
          <w:b/>
          <w:i/>
        </w:rPr>
        <w:lastRenderedPageBreak/>
        <w:t>PARTIDAS</w:t>
      </w:r>
      <w:r w:rsidRPr="00630BB6">
        <w:rPr>
          <w:i/>
        </w:rPr>
        <w:tab/>
      </w:r>
      <w:r w:rsidRPr="00630BB6">
        <w:rPr>
          <w:i/>
        </w:rPr>
        <w:tab/>
      </w:r>
      <w:r w:rsidRPr="00630BB6">
        <w:rPr>
          <w:i/>
        </w:rPr>
        <w:tab/>
      </w:r>
      <w:r w:rsidRPr="00630BB6">
        <w:rPr>
          <w:i/>
        </w:rPr>
        <w:tab/>
      </w:r>
      <w:r w:rsidRPr="00630BB6">
        <w:rPr>
          <w:i/>
        </w:rPr>
        <w:tab/>
      </w:r>
      <w:r w:rsidRPr="00630BB6">
        <w:rPr>
          <w:i/>
        </w:rPr>
        <w:tab/>
        <w:t xml:space="preserve">               </w:t>
      </w:r>
      <w:r>
        <w:rPr>
          <w:i/>
        </w:rPr>
        <w:t xml:space="preserve">   </w:t>
      </w:r>
      <w:r w:rsidRPr="00630BB6">
        <w:rPr>
          <w:i/>
        </w:rPr>
        <w:t xml:space="preserve">  </w:t>
      </w:r>
      <w:r>
        <w:rPr>
          <w:b/>
          <w:i/>
        </w:rPr>
        <w:t>2022</w:t>
      </w:r>
      <w:r>
        <w:rPr>
          <w:b/>
          <w:i/>
        </w:rPr>
        <w:tab/>
        <w:t xml:space="preserve">          2021</w:t>
      </w:r>
    </w:p>
    <w:tbl>
      <w:tblPr>
        <w:tblW w:w="8804" w:type="dxa"/>
        <w:tblInd w:w="55" w:type="dxa"/>
        <w:tblCellMar>
          <w:left w:w="70" w:type="dxa"/>
          <w:right w:w="70" w:type="dxa"/>
        </w:tblCellMar>
        <w:tblLook w:val="04A0" w:firstRow="1" w:lastRow="0" w:firstColumn="1" w:lastColumn="0" w:noHBand="0" w:noVBand="1"/>
      </w:tblPr>
      <w:tblGrid>
        <w:gridCol w:w="5480"/>
        <w:gridCol w:w="1553"/>
        <w:gridCol w:w="1771"/>
      </w:tblGrid>
      <w:tr w:rsidR="001B27CA" w:rsidRPr="001A3C8D" w14:paraId="6FB77B61" w14:textId="77777777" w:rsidTr="001A43F4">
        <w:trPr>
          <w:trHeight w:val="282"/>
        </w:trPr>
        <w:tc>
          <w:tcPr>
            <w:tcW w:w="5480" w:type="dxa"/>
            <w:tcBorders>
              <w:top w:val="nil"/>
              <w:left w:val="nil"/>
              <w:bottom w:val="nil"/>
              <w:right w:val="nil"/>
            </w:tcBorders>
            <w:shd w:val="clear" w:color="auto" w:fill="auto"/>
            <w:noWrap/>
            <w:hideMark/>
          </w:tcPr>
          <w:p w14:paraId="1D126AF7" w14:textId="77777777" w:rsidR="001B27CA" w:rsidRDefault="001B27CA" w:rsidP="007949F7">
            <w:pPr>
              <w:spacing w:line="360" w:lineRule="auto"/>
              <w:rPr>
                <w:i/>
                <w:iCs/>
                <w:color w:val="000000"/>
              </w:rPr>
            </w:pPr>
            <w:r>
              <w:rPr>
                <w:i/>
                <w:iCs/>
                <w:color w:val="000000"/>
              </w:rPr>
              <w:t>Teléfono Local</w:t>
            </w:r>
          </w:p>
        </w:tc>
        <w:tc>
          <w:tcPr>
            <w:tcW w:w="1553" w:type="dxa"/>
            <w:tcBorders>
              <w:top w:val="nil"/>
              <w:left w:val="nil"/>
              <w:bottom w:val="nil"/>
              <w:right w:val="nil"/>
            </w:tcBorders>
            <w:shd w:val="clear" w:color="auto" w:fill="auto"/>
            <w:noWrap/>
            <w:hideMark/>
          </w:tcPr>
          <w:p w14:paraId="669E3E13" w14:textId="77777777" w:rsidR="001B27CA" w:rsidRPr="003D04FA" w:rsidRDefault="001B27CA" w:rsidP="007949F7">
            <w:pPr>
              <w:spacing w:line="360" w:lineRule="auto"/>
              <w:jc w:val="right"/>
              <w:rPr>
                <w:i/>
                <w:iCs/>
                <w:color w:val="000000"/>
              </w:rPr>
            </w:pPr>
            <w:r>
              <w:rPr>
                <w:i/>
                <w:iCs/>
                <w:color w:val="000000"/>
              </w:rPr>
              <w:t>1,418,223.66</w:t>
            </w:r>
          </w:p>
        </w:tc>
        <w:tc>
          <w:tcPr>
            <w:tcW w:w="1771" w:type="dxa"/>
            <w:tcBorders>
              <w:top w:val="nil"/>
              <w:left w:val="nil"/>
              <w:bottom w:val="nil"/>
              <w:right w:val="nil"/>
            </w:tcBorders>
            <w:shd w:val="clear" w:color="auto" w:fill="auto"/>
            <w:noWrap/>
            <w:hideMark/>
          </w:tcPr>
          <w:p w14:paraId="5FC04F85" w14:textId="77777777" w:rsidR="001B27CA" w:rsidRPr="001A3C8D" w:rsidRDefault="001B27CA" w:rsidP="007949F7">
            <w:pPr>
              <w:spacing w:line="360" w:lineRule="auto"/>
              <w:jc w:val="right"/>
              <w:rPr>
                <w:i/>
                <w:iCs/>
                <w:color w:val="000000"/>
              </w:rPr>
            </w:pPr>
            <w:r>
              <w:rPr>
                <w:i/>
                <w:iCs/>
                <w:color w:val="000000"/>
              </w:rPr>
              <w:t>1,255,476.86</w:t>
            </w:r>
          </w:p>
        </w:tc>
      </w:tr>
      <w:tr w:rsidR="001B27CA" w:rsidRPr="001A3C8D" w14:paraId="62D8C24C" w14:textId="77777777" w:rsidTr="001A43F4">
        <w:trPr>
          <w:trHeight w:val="282"/>
        </w:trPr>
        <w:tc>
          <w:tcPr>
            <w:tcW w:w="5480" w:type="dxa"/>
            <w:tcBorders>
              <w:top w:val="nil"/>
              <w:left w:val="nil"/>
              <w:bottom w:val="nil"/>
              <w:right w:val="nil"/>
            </w:tcBorders>
            <w:shd w:val="clear" w:color="auto" w:fill="auto"/>
            <w:noWrap/>
            <w:hideMark/>
          </w:tcPr>
          <w:p w14:paraId="6D051ED0" w14:textId="77777777" w:rsidR="001B27CA" w:rsidRDefault="001B27CA" w:rsidP="007949F7">
            <w:pPr>
              <w:spacing w:line="360" w:lineRule="auto"/>
              <w:rPr>
                <w:i/>
                <w:iCs/>
                <w:color w:val="000000"/>
              </w:rPr>
            </w:pPr>
            <w:r>
              <w:rPr>
                <w:i/>
                <w:iCs/>
                <w:color w:val="000000"/>
              </w:rPr>
              <w:t>Telefax y Correo</w:t>
            </w:r>
          </w:p>
        </w:tc>
        <w:tc>
          <w:tcPr>
            <w:tcW w:w="1553" w:type="dxa"/>
            <w:tcBorders>
              <w:top w:val="nil"/>
              <w:left w:val="nil"/>
              <w:bottom w:val="nil"/>
              <w:right w:val="nil"/>
            </w:tcBorders>
            <w:shd w:val="clear" w:color="auto" w:fill="auto"/>
            <w:noWrap/>
            <w:hideMark/>
          </w:tcPr>
          <w:p w14:paraId="787C0506" w14:textId="77777777" w:rsidR="001B27CA" w:rsidRPr="003D04FA" w:rsidRDefault="001B27CA" w:rsidP="007949F7">
            <w:pPr>
              <w:spacing w:line="360" w:lineRule="auto"/>
              <w:jc w:val="right"/>
              <w:rPr>
                <w:i/>
                <w:iCs/>
                <w:color w:val="000000"/>
              </w:rPr>
            </w:pPr>
            <w:r w:rsidRPr="003D04FA">
              <w:rPr>
                <w:i/>
                <w:iCs/>
                <w:color w:val="000000"/>
              </w:rPr>
              <w:t>9</w:t>
            </w:r>
            <w:r>
              <w:rPr>
                <w:i/>
                <w:iCs/>
                <w:color w:val="000000"/>
              </w:rPr>
              <w:t>9,376.60</w:t>
            </w:r>
          </w:p>
        </w:tc>
        <w:tc>
          <w:tcPr>
            <w:tcW w:w="1771" w:type="dxa"/>
            <w:tcBorders>
              <w:top w:val="nil"/>
              <w:left w:val="nil"/>
              <w:bottom w:val="nil"/>
              <w:right w:val="nil"/>
            </w:tcBorders>
            <w:shd w:val="clear" w:color="auto" w:fill="auto"/>
            <w:noWrap/>
            <w:hideMark/>
          </w:tcPr>
          <w:p w14:paraId="48D9B3EF" w14:textId="77777777" w:rsidR="001B27CA" w:rsidRPr="001A3C8D" w:rsidRDefault="001B27CA" w:rsidP="007949F7">
            <w:pPr>
              <w:spacing w:line="360" w:lineRule="auto"/>
              <w:jc w:val="right"/>
              <w:rPr>
                <w:i/>
                <w:iCs/>
                <w:color w:val="000000"/>
              </w:rPr>
            </w:pPr>
            <w:r>
              <w:rPr>
                <w:i/>
                <w:iCs/>
                <w:color w:val="000000"/>
              </w:rPr>
              <w:t>52,353.60</w:t>
            </w:r>
          </w:p>
        </w:tc>
      </w:tr>
      <w:tr w:rsidR="001B27CA" w:rsidRPr="001A3C8D" w14:paraId="3C73848E" w14:textId="77777777" w:rsidTr="001A43F4">
        <w:trPr>
          <w:trHeight w:val="282"/>
        </w:trPr>
        <w:tc>
          <w:tcPr>
            <w:tcW w:w="5480" w:type="dxa"/>
            <w:tcBorders>
              <w:top w:val="nil"/>
              <w:left w:val="nil"/>
              <w:bottom w:val="nil"/>
              <w:right w:val="nil"/>
            </w:tcBorders>
            <w:shd w:val="clear" w:color="auto" w:fill="auto"/>
            <w:noWrap/>
            <w:hideMark/>
          </w:tcPr>
          <w:p w14:paraId="30A2BBB8" w14:textId="77777777" w:rsidR="001B27CA" w:rsidRDefault="001B27CA" w:rsidP="007949F7">
            <w:pPr>
              <w:spacing w:line="360" w:lineRule="auto"/>
              <w:rPr>
                <w:i/>
                <w:iCs/>
                <w:color w:val="000000"/>
              </w:rPr>
            </w:pPr>
            <w:r>
              <w:rPr>
                <w:i/>
                <w:iCs/>
                <w:color w:val="000000"/>
              </w:rPr>
              <w:t>Servicios de Internet y Televisión por Cable</w:t>
            </w:r>
          </w:p>
        </w:tc>
        <w:tc>
          <w:tcPr>
            <w:tcW w:w="1553" w:type="dxa"/>
            <w:tcBorders>
              <w:top w:val="nil"/>
              <w:left w:val="nil"/>
              <w:bottom w:val="nil"/>
              <w:right w:val="nil"/>
            </w:tcBorders>
            <w:shd w:val="clear" w:color="auto" w:fill="auto"/>
            <w:noWrap/>
            <w:hideMark/>
          </w:tcPr>
          <w:p w14:paraId="6E086113" w14:textId="77777777" w:rsidR="001B27CA" w:rsidRPr="003D04FA" w:rsidRDefault="001B27CA" w:rsidP="007949F7">
            <w:pPr>
              <w:spacing w:line="360" w:lineRule="auto"/>
              <w:jc w:val="right"/>
              <w:rPr>
                <w:i/>
                <w:iCs/>
                <w:color w:val="000000"/>
              </w:rPr>
            </w:pPr>
            <w:r>
              <w:rPr>
                <w:i/>
                <w:iCs/>
                <w:color w:val="000000"/>
              </w:rPr>
              <w:t>1,047,600.53</w:t>
            </w:r>
          </w:p>
        </w:tc>
        <w:tc>
          <w:tcPr>
            <w:tcW w:w="1771" w:type="dxa"/>
            <w:tcBorders>
              <w:top w:val="nil"/>
              <w:left w:val="nil"/>
              <w:bottom w:val="nil"/>
              <w:right w:val="nil"/>
            </w:tcBorders>
            <w:shd w:val="clear" w:color="auto" w:fill="auto"/>
            <w:noWrap/>
            <w:hideMark/>
          </w:tcPr>
          <w:p w14:paraId="528110EF" w14:textId="77777777" w:rsidR="001B27CA" w:rsidRPr="001A3C8D" w:rsidRDefault="001B27CA" w:rsidP="007949F7">
            <w:pPr>
              <w:spacing w:line="360" w:lineRule="auto"/>
              <w:jc w:val="right"/>
              <w:rPr>
                <w:i/>
                <w:iCs/>
                <w:color w:val="000000"/>
              </w:rPr>
            </w:pPr>
            <w:r>
              <w:rPr>
                <w:i/>
                <w:iCs/>
                <w:color w:val="000000"/>
              </w:rPr>
              <w:t>826,549.33</w:t>
            </w:r>
          </w:p>
        </w:tc>
      </w:tr>
      <w:tr w:rsidR="001B27CA" w:rsidRPr="001A3C8D" w14:paraId="7624E631" w14:textId="77777777" w:rsidTr="001A43F4">
        <w:trPr>
          <w:trHeight w:val="282"/>
        </w:trPr>
        <w:tc>
          <w:tcPr>
            <w:tcW w:w="5480" w:type="dxa"/>
            <w:tcBorders>
              <w:top w:val="nil"/>
              <w:left w:val="nil"/>
              <w:bottom w:val="nil"/>
              <w:right w:val="nil"/>
            </w:tcBorders>
            <w:shd w:val="clear" w:color="auto" w:fill="auto"/>
            <w:noWrap/>
            <w:hideMark/>
          </w:tcPr>
          <w:p w14:paraId="36B10C5C" w14:textId="77777777" w:rsidR="001B27CA" w:rsidRDefault="001B27CA" w:rsidP="007949F7">
            <w:pPr>
              <w:spacing w:line="360" w:lineRule="auto"/>
              <w:rPr>
                <w:i/>
                <w:iCs/>
                <w:color w:val="000000"/>
              </w:rPr>
            </w:pPr>
            <w:r>
              <w:rPr>
                <w:i/>
                <w:iCs/>
                <w:color w:val="000000"/>
              </w:rPr>
              <w:t>Energía Eléctrica</w:t>
            </w:r>
          </w:p>
        </w:tc>
        <w:tc>
          <w:tcPr>
            <w:tcW w:w="1553" w:type="dxa"/>
            <w:tcBorders>
              <w:top w:val="nil"/>
              <w:left w:val="nil"/>
              <w:bottom w:val="nil"/>
              <w:right w:val="nil"/>
            </w:tcBorders>
            <w:shd w:val="clear" w:color="auto" w:fill="auto"/>
            <w:noWrap/>
            <w:hideMark/>
          </w:tcPr>
          <w:p w14:paraId="4133F7EB" w14:textId="77777777" w:rsidR="001B27CA" w:rsidRPr="003D04FA" w:rsidRDefault="001B27CA" w:rsidP="007949F7">
            <w:pPr>
              <w:spacing w:line="360" w:lineRule="auto"/>
              <w:jc w:val="right"/>
              <w:rPr>
                <w:i/>
                <w:iCs/>
                <w:color w:val="000000"/>
              </w:rPr>
            </w:pPr>
            <w:r>
              <w:rPr>
                <w:i/>
                <w:iCs/>
                <w:color w:val="000000"/>
              </w:rPr>
              <w:t>3,886,130.11</w:t>
            </w:r>
          </w:p>
        </w:tc>
        <w:tc>
          <w:tcPr>
            <w:tcW w:w="1771" w:type="dxa"/>
            <w:tcBorders>
              <w:top w:val="nil"/>
              <w:left w:val="nil"/>
              <w:bottom w:val="nil"/>
              <w:right w:val="nil"/>
            </w:tcBorders>
            <w:shd w:val="clear" w:color="auto" w:fill="auto"/>
            <w:noWrap/>
            <w:hideMark/>
          </w:tcPr>
          <w:p w14:paraId="01BACBB1" w14:textId="77777777" w:rsidR="001B27CA" w:rsidRPr="001A3C8D" w:rsidRDefault="001B27CA" w:rsidP="007949F7">
            <w:pPr>
              <w:spacing w:line="360" w:lineRule="auto"/>
              <w:jc w:val="right"/>
              <w:rPr>
                <w:i/>
                <w:iCs/>
                <w:color w:val="000000"/>
              </w:rPr>
            </w:pPr>
            <w:r>
              <w:rPr>
                <w:i/>
                <w:iCs/>
                <w:color w:val="000000"/>
              </w:rPr>
              <w:t>3,192,131.21</w:t>
            </w:r>
          </w:p>
        </w:tc>
      </w:tr>
      <w:tr w:rsidR="001B27CA" w:rsidRPr="001A3C8D" w14:paraId="59E2487A" w14:textId="77777777" w:rsidTr="001A43F4">
        <w:trPr>
          <w:trHeight w:val="282"/>
        </w:trPr>
        <w:tc>
          <w:tcPr>
            <w:tcW w:w="5480" w:type="dxa"/>
            <w:tcBorders>
              <w:top w:val="nil"/>
              <w:left w:val="nil"/>
              <w:bottom w:val="nil"/>
              <w:right w:val="nil"/>
            </w:tcBorders>
            <w:shd w:val="clear" w:color="auto" w:fill="auto"/>
            <w:noWrap/>
            <w:hideMark/>
          </w:tcPr>
          <w:p w14:paraId="009FDC0B" w14:textId="77777777" w:rsidR="001B27CA" w:rsidRDefault="001B27CA" w:rsidP="007949F7">
            <w:pPr>
              <w:spacing w:line="360" w:lineRule="auto"/>
              <w:rPr>
                <w:i/>
                <w:iCs/>
                <w:color w:val="000000"/>
              </w:rPr>
            </w:pPr>
            <w:r>
              <w:rPr>
                <w:i/>
                <w:iCs/>
                <w:color w:val="000000"/>
              </w:rPr>
              <w:t>Agua</w:t>
            </w:r>
          </w:p>
        </w:tc>
        <w:tc>
          <w:tcPr>
            <w:tcW w:w="1553" w:type="dxa"/>
            <w:tcBorders>
              <w:top w:val="nil"/>
              <w:left w:val="nil"/>
              <w:bottom w:val="nil"/>
              <w:right w:val="nil"/>
            </w:tcBorders>
            <w:shd w:val="clear" w:color="auto" w:fill="auto"/>
            <w:noWrap/>
            <w:hideMark/>
          </w:tcPr>
          <w:p w14:paraId="0FC94E51" w14:textId="77777777" w:rsidR="001B27CA" w:rsidRPr="003D04FA" w:rsidRDefault="001B27CA" w:rsidP="007949F7">
            <w:pPr>
              <w:spacing w:line="360" w:lineRule="auto"/>
              <w:jc w:val="right"/>
              <w:rPr>
                <w:i/>
                <w:iCs/>
                <w:color w:val="000000"/>
              </w:rPr>
            </w:pPr>
            <w:r>
              <w:rPr>
                <w:i/>
                <w:iCs/>
                <w:color w:val="000000"/>
              </w:rPr>
              <w:t>68,880.00</w:t>
            </w:r>
          </w:p>
        </w:tc>
        <w:tc>
          <w:tcPr>
            <w:tcW w:w="1771" w:type="dxa"/>
            <w:tcBorders>
              <w:top w:val="nil"/>
              <w:left w:val="nil"/>
              <w:bottom w:val="nil"/>
              <w:right w:val="nil"/>
            </w:tcBorders>
            <w:shd w:val="clear" w:color="auto" w:fill="auto"/>
            <w:noWrap/>
            <w:hideMark/>
          </w:tcPr>
          <w:p w14:paraId="38CE355F" w14:textId="77777777" w:rsidR="001B27CA" w:rsidRPr="001A3C8D" w:rsidRDefault="001B27CA" w:rsidP="007949F7">
            <w:pPr>
              <w:spacing w:line="360" w:lineRule="auto"/>
              <w:jc w:val="right"/>
              <w:rPr>
                <w:i/>
                <w:iCs/>
                <w:color w:val="000000"/>
              </w:rPr>
            </w:pPr>
            <w:r>
              <w:rPr>
                <w:i/>
                <w:iCs/>
                <w:color w:val="000000"/>
              </w:rPr>
              <w:t>33,480.00</w:t>
            </w:r>
          </w:p>
        </w:tc>
      </w:tr>
      <w:tr w:rsidR="001B27CA" w:rsidRPr="001A3C8D" w14:paraId="3971FE88" w14:textId="77777777" w:rsidTr="001A43F4">
        <w:trPr>
          <w:trHeight w:val="282"/>
        </w:trPr>
        <w:tc>
          <w:tcPr>
            <w:tcW w:w="5480" w:type="dxa"/>
            <w:tcBorders>
              <w:top w:val="nil"/>
              <w:left w:val="nil"/>
              <w:bottom w:val="nil"/>
              <w:right w:val="nil"/>
            </w:tcBorders>
            <w:shd w:val="clear" w:color="auto" w:fill="auto"/>
            <w:noWrap/>
            <w:hideMark/>
          </w:tcPr>
          <w:p w14:paraId="59035313" w14:textId="77777777" w:rsidR="001B27CA" w:rsidRDefault="001B27CA" w:rsidP="007949F7">
            <w:pPr>
              <w:spacing w:line="360" w:lineRule="auto"/>
              <w:rPr>
                <w:i/>
                <w:iCs/>
                <w:color w:val="000000"/>
              </w:rPr>
            </w:pPr>
            <w:r>
              <w:rPr>
                <w:i/>
                <w:iCs/>
                <w:color w:val="000000"/>
              </w:rPr>
              <w:t>Recolección de Residuos Solidos</w:t>
            </w:r>
          </w:p>
        </w:tc>
        <w:tc>
          <w:tcPr>
            <w:tcW w:w="1553" w:type="dxa"/>
            <w:tcBorders>
              <w:top w:val="nil"/>
              <w:left w:val="nil"/>
              <w:bottom w:val="nil"/>
              <w:right w:val="nil"/>
            </w:tcBorders>
            <w:shd w:val="clear" w:color="auto" w:fill="auto"/>
            <w:noWrap/>
            <w:hideMark/>
          </w:tcPr>
          <w:p w14:paraId="6F96E92D" w14:textId="77777777" w:rsidR="001B27CA" w:rsidRPr="003D04FA" w:rsidRDefault="001B27CA" w:rsidP="007949F7">
            <w:pPr>
              <w:spacing w:line="360" w:lineRule="auto"/>
              <w:jc w:val="right"/>
              <w:rPr>
                <w:i/>
                <w:iCs/>
                <w:color w:val="000000"/>
              </w:rPr>
            </w:pPr>
            <w:r>
              <w:rPr>
                <w:i/>
                <w:iCs/>
                <w:color w:val="000000"/>
              </w:rPr>
              <w:t>143,113.00</w:t>
            </w:r>
          </w:p>
        </w:tc>
        <w:tc>
          <w:tcPr>
            <w:tcW w:w="1771" w:type="dxa"/>
            <w:tcBorders>
              <w:top w:val="nil"/>
              <w:left w:val="nil"/>
              <w:bottom w:val="nil"/>
              <w:right w:val="nil"/>
            </w:tcBorders>
            <w:shd w:val="clear" w:color="auto" w:fill="auto"/>
            <w:noWrap/>
            <w:hideMark/>
          </w:tcPr>
          <w:p w14:paraId="0B7C450F" w14:textId="77777777" w:rsidR="001B27CA" w:rsidRPr="001A3C8D" w:rsidRDefault="001B27CA" w:rsidP="007949F7">
            <w:pPr>
              <w:spacing w:line="360" w:lineRule="auto"/>
              <w:jc w:val="right"/>
              <w:rPr>
                <w:i/>
                <w:iCs/>
                <w:color w:val="000000"/>
              </w:rPr>
            </w:pPr>
            <w:r>
              <w:rPr>
                <w:i/>
                <w:iCs/>
                <w:color w:val="000000"/>
              </w:rPr>
              <w:t>181,291.50</w:t>
            </w:r>
          </w:p>
        </w:tc>
      </w:tr>
      <w:tr w:rsidR="001B27CA" w:rsidRPr="001A3C8D" w14:paraId="34E14B9F" w14:textId="77777777" w:rsidTr="001A43F4">
        <w:trPr>
          <w:trHeight w:val="282"/>
        </w:trPr>
        <w:tc>
          <w:tcPr>
            <w:tcW w:w="5480" w:type="dxa"/>
            <w:tcBorders>
              <w:top w:val="nil"/>
              <w:left w:val="nil"/>
              <w:bottom w:val="nil"/>
              <w:right w:val="nil"/>
            </w:tcBorders>
            <w:shd w:val="clear" w:color="auto" w:fill="auto"/>
            <w:noWrap/>
            <w:hideMark/>
          </w:tcPr>
          <w:p w14:paraId="653E7614" w14:textId="77777777" w:rsidR="001B27CA" w:rsidRDefault="001B27CA" w:rsidP="007949F7">
            <w:pPr>
              <w:spacing w:line="360" w:lineRule="auto"/>
              <w:rPr>
                <w:i/>
                <w:iCs/>
                <w:color w:val="000000"/>
              </w:rPr>
            </w:pPr>
            <w:r>
              <w:rPr>
                <w:i/>
                <w:iCs/>
                <w:color w:val="000000"/>
              </w:rPr>
              <w:t>Publicidad y Propaganda</w:t>
            </w:r>
          </w:p>
        </w:tc>
        <w:tc>
          <w:tcPr>
            <w:tcW w:w="1553" w:type="dxa"/>
            <w:tcBorders>
              <w:top w:val="nil"/>
              <w:left w:val="nil"/>
              <w:bottom w:val="nil"/>
              <w:right w:val="nil"/>
            </w:tcBorders>
            <w:shd w:val="clear" w:color="auto" w:fill="auto"/>
            <w:noWrap/>
            <w:hideMark/>
          </w:tcPr>
          <w:p w14:paraId="2844D2D4" w14:textId="77777777" w:rsidR="001B27CA" w:rsidRPr="003D04FA" w:rsidRDefault="001B27CA" w:rsidP="007949F7">
            <w:pPr>
              <w:spacing w:line="360" w:lineRule="auto"/>
              <w:jc w:val="right"/>
              <w:rPr>
                <w:i/>
                <w:iCs/>
                <w:color w:val="000000"/>
              </w:rPr>
            </w:pPr>
            <w:r>
              <w:rPr>
                <w:i/>
                <w:iCs/>
                <w:color w:val="000000"/>
              </w:rPr>
              <w:t>7,071,188.46</w:t>
            </w:r>
          </w:p>
        </w:tc>
        <w:tc>
          <w:tcPr>
            <w:tcW w:w="1771" w:type="dxa"/>
            <w:tcBorders>
              <w:top w:val="nil"/>
              <w:left w:val="nil"/>
              <w:bottom w:val="nil"/>
              <w:right w:val="nil"/>
            </w:tcBorders>
            <w:shd w:val="clear" w:color="auto" w:fill="auto"/>
            <w:noWrap/>
            <w:hideMark/>
          </w:tcPr>
          <w:p w14:paraId="7358E8A1" w14:textId="77777777" w:rsidR="001B27CA" w:rsidRPr="001A3C8D" w:rsidRDefault="001B27CA" w:rsidP="007949F7">
            <w:pPr>
              <w:spacing w:line="360" w:lineRule="auto"/>
              <w:jc w:val="right"/>
              <w:rPr>
                <w:i/>
                <w:iCs/>
                <w:color w:val="000000"/>
              </w:rPr>
            </w:pPr>
            <w:r>
              <w:rPr>
                <w:i/>
                <w:iCs/>
                <w:color w:val="000000"/>
              </w:rPr>
              <w:t>7,262,619.02</w:t>
            </w:r>
          </w:p>
        </w:tc>
      </w:tr>
      <w:tr w:rsidR="001B27CA" w:rsidRPr="001A3C8D" w14:paraId="7B9FE33B" w14:textId="77777777" w:rsidTr="001A43F4">
        <w:trPr>
          <w:trHeight w:val="282"/>
        </w:trPr>
        <w:tc>
          <w:tcPr>
            <w:tcW w:w="5480" w:type="dxa"/>
            <w:tcBorders>
              <w:top w:val="nil"/>
              <w:left w:val="nil"/>
              <w:bottom w:val="nil"/>
              <w:right w:val="nil"/>
            </w:tcBorders>
            <w:shd w:val="clear" w:color="auto" w:fill="auto"/>
            <w:noWrap/>
            <w:hideMark/>
          </w:tcPr>
          <w:p w14:paraId="421ED23A" w14:textId="77777777" w:rsidR="001B27CA" w:rsidRDefault="001B27CA" w:rsidP="007949F7">
            <w:pPr>
              <w:spacing w:line="360" w:lineRule="auto"/>
              <w:rPr>
                <w:i/>
                <w:iCs/>
                <w:color w:val="000000"/>
              </w:rPr>
            </w:pPr>
            <w:r>
              <w:rPr>
                <w:i/>
                <w:iCs/>
                <w:color w:val="000000"/>
              </w:rPr>
              <w:t>Impresión y Encuadernación</w:t>
            </w:r>
          </w:p>
        </w:tc>
        <w:tc>
          <w:tcPr>
            <w:tcW w:w="1553" w:type="dxa"/>
            <w:tcBorders>
              <w:top w:val="nil"/>
              <w:left w:val="nil"/>
              <w:bottom w:val="nil"/>
              <w:right w:val="nil"/>
            </w:tcBorders>
            <w:shd w:val="clear" w:color="auto" w:fill="auto"/>
            <w:noWrap/>
            <w:hideMark/>
          </w:tcPr>
          <w:p w14:paraId="3373CF24" w14:textId="77777777" w:rsidR="001B27CA" w:rsidRPr="003D04FA" w:rsidRDefault="001B27CA" w:rsidP="007949F7">
            <w:pPr>
              <w:spacing w:line="360" w:lineRule="auto"/>
              <w:jc w:val="right"/>
              <w:rPr>
                <w:i/>
                <w:iCs/>
                <w:color w:val="000000"/>
              </w:rPr>
            </w:pPr>
            <w:r w:rsidRPr="003D04FA">
              <w:rPr>
                <w:i/>
                <w:iCs/>
                <w:color w:val="000000"/>
              </w:rPr>
              <w:t>1,4</w:t>
            </w:r>
            <w:r>
              <w:rPr>
                <w:i/>
                <w:iCs/>
                <w:color w:val="000000"/>
              </w:rPr>
              <w:t>72,851.16</w:t>
            </w:r>
          </w:p>
        </w:tc>
        <w:tc>
          <w:tcPr>
            <w:tcW w:w="1771" w:type="dxa"/>
            <w:tcBorders>
              <w:top w:val="nil"/>
              <w:left w:val="nil"/>
              <w:bottom w:val="nil"/>
              <w:right w:val="nil"/>
            </w:tcBorders>
            <w:shd w:val="clear" w:color="auto" w:fill="auto"/>
            <w:noWrap/>
            <w:hideMark/>
          </w:tcPr>
          <w:p w14:paraId="7CDE6A45" w14:textId="77777777" w:rsidR="001B27CA" w:rsidRPr="001A3C8D" w:rsidRDefault="001B27CA" w:rsidP="007949F7">
            <w:pPr>
              <w:spacing w:line="360" w:lineRule="auto"/>
              <w:jc w:val="right"/>
              <w:rPr>
                <w:i/>
                <w:iCs/>
                <w:color w:val="000000"/>
              </w:rPr>
            </w:pPr>
            <w:r>
              <w:rPr>
                <w:i/>
                <w:iCs/>
                <w:color w:val="000000"/>
              </w:rPr>
              <w:t>425,829.64</w:t>
            </w:r>
          </w:p>
        </w:tc>
      </w:tr>
      <w:tr w:rsidR="001B27CA" w:rsidRPr="001A3C8D" w14:paraId="0135C100" w14:textId="77777777" w:rsidTr="001A43F4">
        <w:trPr>
          <w:trHeight w:val="282"/>
        </w:trPr>
        <w:tc>
          <w:tcPr>
            <w:tcW w:w="5480" w:type="dxa"/>
            <w:tcBorders>
              <w:top w:val="nil"/>
              <w:left w:val="nil"/>
              <w:bottom w:val="nil"/>
              <w:right w:val="nil"/>
            </w:tcBorders>
            <w:shd w:val="clear" w:color="auto" w:fill="auto"/>
            <w:noWrap/>
          </w:tcPr>
          <w:p w14:paraId="3FDD4C8A" w14:textId="77777777" w:rsidR="001B27CA" w:rsidRDefault="001B27CA" w:rsidP="007949F7">
            <w:pPr>
              <w:spacing w:line="360" w:lineRule="auto"/>
              <w:rPr>
                <w:i/>
                <w:iCs/>
                <w:color w:val="000000"/>
              </w:rPr>
            </w:pPr>
            <w:r>
              <w:rPr>
                <w:i/>
                <w:iCs/>
                <w:color w:val="000000"/>
              </w:rPr>
              <w:t>Pasajes</w:t>
            </w:r>
          </w:p>
        </w:tc>
        <w:tc>
          <w:tcPr>
            <w:tcW w:w="1553" w:type="dxa"/>
            <w:tcBorders>
              <w:top w:val="nil"/>
              <w:left w:val="nil"/>
              <w:bottom w:val="nil"/>
              <w:right w:val="nil"/>
            </w:tcBorders>
            <w:shd w:val="clear" w:color="auto" w:fill="auto"/>
            <w:noWrap/>
          </w:tcPr>
          <w:p w14:paraId="27CE1896" w14:textId="77777777" w:rsidR="001B27CA" w:rsidRPr="003D04FA" w:rsidRDefault="001B27CA" w:rsidP="007949F7">
            <w:pPr>
              <w:spacing w:line="360" w:lineRule="auto"/>
              <w:jc w:val="right"/>
              <w:rPr>
                <w:i/>
                <w:iCs/>
                <w:color w:val="000000"/>
              </w:rPr>
            </w:pPr>
            <w:r>
              <w:rPr>
                <w:i/>
                <w:iCs/>
                <w:color w:val="000000"/>
              </w:rPr>
              <w:t>230,039.97</w:t>
            </w:r>
          </w:p>
        </w:tc>
        <w:tc>
          <w:tcPr>
            <w:tcW w:w="1771" w:type="dxa"/>
            <w:tcBorders>
              <w:top w:val="nil"/>
              <w:left w:val="nil"/>
              <w:bottom w:val="nil"/>
              <w:right w:val="nil"/>
            </w:tcBorders>
            <w:shd w:val="clear" w:color="auto" w:fill="auto"/>
            <w:noWrap/>
          </w:tcPr>
          <w:p w14:paraId="2891ECCA" w14:textId="77777777" w:rsidR="001B27CA" w:rsidRPr="001A3C8D" w:rsidRDefault="001B27CA" w:rsidP="007949F7">
            <w:pPr>
              <w:spacing w:line="360" w:lineRule="auto"/>
              <w:jc w:val="right"/>
              <w:rPr>
                <w:i/>
                <w:iCs/>
                <w:color w:val="000000"/>
              </w:rPr>
            </w:pPr>
            <w:r>
              <w:rPr>
                <w:i/>
                <w:iCs/>
                <w:color w:val="000000"/>
              </w:rPr>
              <w:t>10,690.00</w:t>
            </w:r>
          </w:p>
        </w:tc>
      </w:tr>
      <w:tr w:rsidR="001B27CA" w:rsidRPr="001A3C8D" w14:paraId="15F2D244" w14:textId="77777777" w:rsidTr="001A43F4">
        <w:trPr>
          <w:trHeight w:val="282"/>
        </w:trPr>
        <w:tc>
          <w:tcPr>
            <w:tcW w:w="5480" w:type="dxa"/>
            <w:tcBorders>
              <w:top w:val="nil"/>
              <w:left w:val="nil"/>
              <w:bottom w:val="nil"/>
              <w:right w:val="nil"/>
            </w:tcBorders>
            <w:shd w:val="clear" w:color="auto" w:fill="auto"/>
            <w:noWrap/>
          </w:tcPr>
          <w:p w14:paraId="0639D8A6" w14:textId="77777777" w:rsidR="001B27CA" w:rsidRDefault="001B27CA" w:rsidP="007949F7">
            <w:pPr>
              <w:spacing w:line="360" w:lineRule="auto"/>
              <w:rPr>
                <w:i/>
                <w:iCs/>
                <w:color w:val="000000"/>
              </w:rPr>
            </w:pPr>
            <w:r>
              <w:rPr>
                <w:i/>
                <w:iCs/>
                <w:color w:val="000000"/>
              </w:rPr>
              <w:t>Flete</w:t>
            </w:r>
          </w:p>
        </w:tc>
        <w:tc>
          <w:tcPr>
            <w:tcW w:w="1553" w:type="dxa"/>
            <w:tcBorders>
              <w:top w:val="nil"/>
              <w:left w:val="nil"/>
              <w:bottom w:val="nil"/>
              <w:right w:val="nil"/>
            </w:tcBorders>
            <w:shd w:val="clear" w:color="auto" w:fill="auto"/>
            <w:noWrap/>
          </w:tcPr>
          <w:p w14:paraId="7438FBE5" w14:textId="77777777" w:rsidR="001B27CA" w:rsidRPr="003D04FA" w:rsidRDefault="001B27CA" w:rsidP="007949F7">
            <w:pPr>
              <w:spacing w:line="360" w:lineRule="auto"/>
              <w:jc w:val="right"/>
              <w:rPr>
                <w:i/>
                <w:iCs/>
                <w:color w:val="000000"/>
              </w:rPr>
            </w:pPr>
            <w:r>
              <w:rPr>
                <w:i/>
                <w:iCs/>
                <w:color w:val="000000"/>
              </w:rPr>
              <w:t>12,000.00</w:t>
            </w:r>
          </w:p>
        </w:tc>
        <w:tc>
          <w:tcPr>
            <w:tcW w:w="1771" w:type="dxa"/>
            <w:tcBorders>
              <w:top w:val="nil"/>
              <w:left w:val="nil"/>
              <w:bottom w:val="nil"/>
              <w:right w:val="nil"/>
            </w:tcBorders>
            <w:shd w:val="clear" w:color="auto" w:fill="auto"/>
            <w:noWrap/>
          </w:tcPr>
          <w:p w14:paraId="4924703E" w14:textId="77777777" w:rsidR="001B27CA" w:rsidRPr="001A3C8D" w:rsidRDefault="001B27CA" w:rsidP="007949F7">
            <w:pPr>
              <w:spacing w:line="360" w:lineRule="auto"/>
              <w:jc w:val="right"/>
              <w:rPr>
                <w:i/>
                <w:iCs/>
                <w:color w:val="000000"/>
              </w:rPr>
            </w:pPr>
            <w:r>
              <w:rPr>
                <w:i/>
                <w:iCs/>
                <w:color w:val="000000"/>
              </w:rPr>
              <w:t>32,000.00</w:t>
            </w:r>
          </w:p>
        </w:tc>
      </w:tr>
      <w:tr w:rsidR="001B27CA" w:rsidRPr="001A3C8D" w14:paraId="778D8B4A" w14:textId="77777777" w:rsidTr="001A43F4">
        <w:trPr>
          <w:trHeight w:val="282"/>
        </w:trPr>
        <w:tc>
          <w:tcPr>
            <w:tcW w:w="5480" w:type="dxa"/>
            <w:tcBorders>
              <w:top w:val="nil"/>
              <w:left w:val="nil"/>
              <w:bottom w:val="nil"/>
              <w:right w:val="nil"/>
            </w:tcBorders>
            <w:shd w:val="clear" w:color="auto" w:fill="auto"/>
            <w:noWrap/>
            <w:hideMark/>
          </w:tcPr>
          <w:p w14:paraId="1F794915" w14:textId="77777777" w:rsidR="001B27CA" w:rsidRDefault="001B27CA" w:rsidP="007949F7">
            <w:pPr>
              <w:spacing w:line="360" w:lineRule="auto"/>
              <w:rPr>
                <w:i/>
                <w:iCs/>
                <w:color w:val="000000"/>
              </w:rPr>
            </w:pPr>
            <w:r>
              <w:rPr>
                <w:i/>
                <w:iCs/>
                <w:color w:val="000000"/>
              </w:rPr>
              <w:t>Viáticos Dentro del País</w:t>
            </w:r>
          </w:p>
        </w:tc>
        <w:tc>
          <w:tcPr>
            <w:tcW w:w="1553" w:type="dxa"/>
            <w:tcBorders>
              <w:top w:val="nil"/>
              <w:left w:val="nil"/>
              <w:bottom w:val="nil"/>
              <w:right w:val="nil"/>
            </w:tcBorders>
            <w:shd w:val="clear" w:color="auto" w:fill="auto"/>
            <w:noWrap/>
            <w:hideMark/>
          </w:tcPr>
          <w:p w14:paraId="0AF55DF5" w14:textId="77777777" w:rsidR="001B27CA" w:rsidRPr="003D04FA" w:rsidRDefault="001B27CA" w:rsidP="007949F7">
            <w:pPr>
              <w:spacing w:line="360" w:lineRule="auto"/>
              <w:jc w:val="right"/>
              <w:rPr>
                <w:i/>
                <w:iCs/>
                <w:color w:val="000000"/>
              </w:rPr>
            </w:pPr>
            <w:r w:rsidRPr="003D04FA">
              <w:rPr>
                <w:i/>
                <w:iCs/>
                <w:color w:val="000000"/>
              </w:rPr>
              <w:t>12</w:t>
            </w:r>
            <w:r>
              <w:rPr>
                <w:i/>
                <w:iCs/>
                <w:color w:val="000000"/>
              </w:rPr>
              <w:t>7,739.54</w:t>
            </w:r>
          </w:p>
        </w:tc>
        <w:tc>
          <w:tcPr>
            <w:tcW w:w="1771" w:type="dxa"/>
            <w:tcBorders>
              <w:top w:val="nil"/>
              <w:left w:val="nil"/>
              <w:bottom w:val="nil"/>
              <w:right w:val="nil"/>
            </w:tcBorders>
            <w:shd w:val="clear" w:color="auto" w:fill="auto"/>
            <w:noWrap/>
            <w:hideMark/>
          </w:tcPr>
          <w:p w14:paraId="022243BE" w14:textId="77777777" w:rsidR="001B27CA" w:rsidRPr="00832260" w:rsidRDefault="001B27CA" w:rsidP="007949F7">
            <w:pPr>
              <w:spacing w:line="360" w:lineRule="auto"/>
              <w:jc w:val="right"/>
              <w:rPr>
                <w:i/>
                <w:iCs/>
                <w:color w:val="000000"/>
              </w:rPr>
            </w:pPr>
            <w:r>
              <w:rPr>
                <w:i/>
                <w:iCs/>
                <w:color w:val="000000"/>
              </w:rPr>
              <w:t>5,645.00</w:t>
            </w:r>
          </w:p>
        </w:tc>
      </w:tr>
      <w:tr w:rsidR="001B27CA" w:rsidRPr="001A3C8D" w14:paraId="38D40EE6" w14:textId="77777777" w:rsidTr="001A43F4">
        <w:trPr>
          <w:trHeight w:val="282"/>
        </w:trPr>
        <w:tc>
          <w:tcPr>
            <w:tcW w:w="5480" w:type="dxa"/>
            <w:tcBorders>
              <w:top w:val="nil"/>
              <w:left w:val="nil"/>
              <w:bottom w:val="nil"/>
              <w:right w:val="nil"/>
            </w:tcBorders>
            <w:shd w:val="clear" w:color="auto" w:fill="auto"/>
            <w:noWrap/>
          </w:tcPr>
          <w:p w14:paraId="0C2589BA" w14:textId="77777777" w:rsidR="001B27CA" w:rsidRDefault="001B27CA" w:rsidP="007949F7">
            <w:pPr>
              <w:spacing w:line="360" w:lineRule="auto"/>
              <w:rPr>
                <w:i/>
                <w:iCs/>
                <w:color w:val="000000"/>
              </w:rPr>
            </w:pPr>
            <w:r>
              <w:rPr>
                <w:i/>
                <w:iCs/>
                <w:color w:val="000000"/>
              </w:rPr>
              <w:t>Viáticos fuera del País</w:t>
            </w:r>
          </w:p>
        </w:tc>
        <w:tc>
          <w:tcPr>
            <w:tcW w:w="1553" w:type="dxa"/>
            <w:tcBorders>
              <w:top w:val="nil"/>
              <w:left w:val="nil"/>
              <w:bottom w:val="nil"/>
              <w:right w:val="nil"/>
            </w:tcBorders>
            <w:shd w:val="clear" w:color="auto" w:fill="auto"/>
            <w:noWrap/>
          </w:tcPr>
          <w:p w14:paraId="17216815" w14:textId="77777777" w:rsidR="001B27CA" w:rsidRPr="003D04FA" w:rsidRDefault="001B27CA" w:rsidP="007949F7">
            <w:pPr>
              <w:spacing w:line="360" w:lineRule="auto"/>
              <w:jc w:val="right"/>
              <w:rPr>
                <w:i/>
                <w:iCs/>
                <w:color w:val="000000"/>
              </w:rPr>
            </w:pPr>
            <w:r>
              <w:rPr>
                <w:i/>
                <w:iCs/>
                <w:color w:val="000000"/>
              </w:rPr>
              <w:t>2,014,746.34</w:t>
            </w:r>
          </w:p>
        </w:tc>
        <w:tc>
          <w:tcPr>
            <w:tcW w:w="1771" w:type="dxa"/>
            <w:tcBorders>
              <w:top w:val="nil"/>
              <w:left w:val="nil"/>
              <w:bottom w:val="nil"/>
              <w:right w:val="nil"/>
            </w:tcBorders>
            <w:shd w:val="clear" w:color="auto" w:fill="auto"/>
            <w:noWrap/>
          </w:tcPr>
          <w:p w14:paraId="77A2BA5A" w14:textId="77777777" w:rsidR="001B27CA" w:rsidRPr="00832260" w:rsidRDefault="001B27CA" w:rsidP="007949F7">
            <w:pPr>
              <w:spacing w:line="360" w:lineRule="auto"/>
              <w:jc w:val="right"/>
              <w:rPr>
                <w:i/>
                <w:iCs/>
                <w:color w:val="000000"/>
              </w:rPr>
            </w:pPr>
            <w:r>
              <w:rPr>
                <w:i/>
                <w:iCs/>
                <w:color w:val="000000"/>
              </w:rPr>
              <w:t>0.00</w:t>
            </w:r>
          </w:p>
        </w:tc>
      </w:tr>
      <w:tr w:rsidR="001B27CA" w:rsidRPr="001A3C8D" w14:paraId="3A7F52AD" w14:textId="77777777" w:rsidTr="001A43F4">
        <w:trPr>
          <w:trHeight w:val="282"/>
        </w:trPr>
        <w:tc>
          <w:tcPr>
            <w:tcW w:w="5480" w:type="dxa"/>
            <w:tcBorders>
              <w:top w:val="nil"/>
              <w:left w:val="nil"/>
              <w:bottom w:val="nil"/>
              <w:right w:val="nil"/>
            </w:tcBorders>
            <w:shd w:val="clear" w:color="auto" w:fill="auto"/>
            <w:noWrap/>
          </w:tcPr>
          <w:p w14:paraId="3A4C5F4D" w14:textId="77777777" w:rsidR="001B27CA" w:rsidRDefault="001B27CA" w:rsidP="007949F7">
            <w:pPr>
              <w:spacing w:line="360" w:lineRule="auto"/>
              <w:rPr>
                <w:i/>
                <w:iCs/>
                <w:color w:val="000000"/>
              </w:rPr>
            </w:pPr>
            <w:r>
              <w:rPr>
                <w:i/>
                <w:iCs/>
                <w:color w:val="000000"/>
              </w:rPr>
              <w:t>Peaje</w:t>
            </w:r>
          </w:p>
        </w:tc>
        <w:tc>
          <w:tcPr>
            <w:tcW w:w="1553" w:type="dxa"/>
            <w:tcBorders>
              <w:top w:val="nil"/>
              <w:left w:val="nil"/>
              <w:bottom w:val="nil"/>
              <w:right w:val="nil"/>
            </w:tcBorders>
            <w:shd w:val="clear" w:color="auto" w:fill="auto"/>
            <w:noWrap/>
          </w:tcPr>
          <w:p w14:paraId="1EF0ED55" w14:textId="77777777" w:rsidR="001B27CA" w:rsidRPr="003D04FA" w:rsidRDefault="001B27CA" w:rsidP="007949F7">
            <w:pPr>
              <w:spacing w:line="360" w:lineRule="auto"/>
              <w:jc w:val="right"/>
              <w:rPr>
                <w:i/>
                <w:iCs/>
                <w:color w:val="000000"/>
              </w:rPr>
            </w:pPr>
            <w:r>
              <w:rPr>
                <w:i/>
                <w:iCs/>
                <w:color w:val="000000"/>
              </w:rPr>
              <w:t>360.00</w:t>
            </w:r>
          </w:p>
        </w:tc>
        <w:tc>
          <w:tcPr>
            <w:tcW w:w="1771" w:type="dxa"/>
            <w:tcBorders>
              <w:top w:val="nil"/>
              <w:left w:val="nil"/>
              <w:bottom w:val="nil"/>
              <w:right w:val="nil"/>
            </w:tcBorders>
            <w:shd w:val="clear" w:color="auto" w:fill="auto"/>
            <w:noWrap/>
          </w:tcPr>
          <w:p w14:paraId="1BCD9FFC" w14:textId="77777777" w:rsidR="001B27CA" w:rsidRPr="001A3C8D" w:rsidRDefault="001B27CA" w:rsidP="007949F7">
            <w:pPr>
              <w:spacing w:line="360" w:lineRule="auto"/>
              <w:jc w:val="right"/>
              <w:rPr>
                <w:i/>
                <w:iCs/>
                <w:color w:val="000000"/>
              </w:rPr>
            </w:pPr>
            <w:r>
              <w:rPr>
                <w:i/>
                <w:iCs/>
                <w:color w:val="000000"/>
              </w:rPr>
              <w:t>940.00</w:t>
            </w:r>
          </w:p>
        </w:tc>
      </w:tr>
      <w:tr w:rsidR="001B27CA" w:rsidRPr="001A3C8D" w14:paraId="6AFFDFFE" w14:textId="77777777" w:rsidTr="001A43F4">
        <w:trPr>
          <w:trHeight w:val="282"/>
        </w:trPr>
        <w:tc>
          <w:tcPr>
            <w:tcW w:w="5480" w:type="dxa"/>
            <w:tcBorders>
              <w:top w:val="nil"/>
              <w:left w:val="nil"/>
              <w:bottom w:val="nil"/>
              <w:right w:val="nil"/>
            </w:tcBorders>
            <w:shd w:val="clear" w:color="auto" w:fill="auto"/>
            <w:noWrap/>
            <w:hideMark/>
          </w:tcPr>
          <w:p w14:paraId="41937F4E" w14:textId="77777777" w:rsidR="001B27CA" w:rsidRDefault="001B27CA" w:rsidP="007949F7">
            <w:pPr>
              <w:spacing w:line="360" w:lineRule="auto"/>
              <w:rPr>
                <w:i/>
                <w:iCs/>
                <w:color w:val="000000"/>
              </w:rPr>
            </w:pPr>
            <w:r>
              <w:rPr>
                <w:i/>
                <w:iCs/>
                <w:color w:val="000000"/>
              </w:rPr>
              <w:t>Alquileres y Rentas de Edif. y Locales</w:t>
            </w:r>
          </w:p>
        </w:tc>
        <w:tc>
          <w:tcPr>
            <w:tcW w:w="1553" w:type="dxa"/>
            <w:tcBorders>
              <w:top w:val="nil"/>
              <w:left w:val="nil"/>
              <w:bottom w:val="nil"/>
              <w:right w:val="nil"/>
            </w:tcBorders>
            <w:shd w:val="clear" w:color="auto" w:fill="auto"/>
            <w:noWrap/>
            <w:hideMark/>
          </w:tcPr>
          <w:p w14:paraId="52879F9D" w14:textId="77777777" w:rsidR="001B27CA" w:rsidRPr="003D04FA" w:rsidRDefault="001B27CA" w:rsidP="007949F7">
            <w:pPr>
              <w:spacing w:line="360" w:lineRule="auto"/>
              <w:jc w:val="right"/>
              <w:rPr>
                <w:i/>
                <w:iCs/>
                <w:color w:val="000000"/>
              </w:rPr>
            </w:pPr>
            <w:r>
              <w:rPr>
                <w:i/>
                <w:iCs/>
                <w:color w:val="000000"/>
              </w:rPr>
              <w:t>450,288.00</w:t>
            </w:r>
          </w:p>
        </w:tc>
        <w:tc>
          <w:tcPr>
            <w:tcW w:w="1771" w:type="dxa"/>
            <w:tcBorders>
              <w:top w:val="nil"/>
              <w:left w:val="nil"/>
              <w:bottom w:val="nil"/>
              <w:right w:val="nil"/>
            </w:tcBorders>
            <w:shd w:val="clear" w:color="auto" w:fill="auto"/>
            <w:noWrap/>
            <w:hideMark/>
          </w:tcPr>
          <w:p w14:paraId="3803206E" w14:textId="77777777" w:rsidR="001B27CA" w:rsidRPr="001A3C8D" w:rsidRDefault="001B27CA" w:rsidP="007949F7">
            <w:pPr>
              <w:spacing w:line="360" w:lineRule="auto"/>
              <w:jc w:val="right"/>
              <w:rPr>
                <w:i/>
                <w:iCs/>
                <w:color w:val="000000"/>
              </w:rPr>
            </w:pPr>
            <w:r>
              <w:rPr>
                <w:i/>
                <w:iCs/>
                <w:color w:val="000000"/>
              </w:rPr>
              <w:t>450,288.00</w:t>
            </w:r>
          </w:p>
        </w:tc>
      </w:tr>
      <w:tr w:rsidR="001B27CA" w:rsidRPr="001A3C8D" w14:paraId="34C5EF72" w14:textId="77777777" w:rsidTr="001A43F4">
        <w:trPr>
          <w:trHeight w:val="282"/>
        </w:trPr>
        <w:tc>
          <w:tcPr>
            <w:tcW w:w="5480" w:type="dxa"/>
            <w:tcBorders>
              <w:top w:val="nil"/>
              <w:left w:val="nil"/>
              <w:bottom w:val="nil"/>
              <w:right w:val="nil"/>
            </w:tcBorders>
            <w:shd w:val="clear" w:color="auto" w:fill="auto"/>
            <w:noWrap/>
            <w:hideMark/>
          </w:tcPr>
          <w:p w14:paraId="754110C7" w14:textId="77777777" w:rsidR="001B27CA" w:rsidRDefault="001B27CA" w:rsidP="007949F7">
            <w:pPr>
              <w:spacing w:line="360" w:lineRule="auto"/>
              <w:rPr>
                <w:i/>
                <w:iCs/>
                <w:color w:val="000000"/>
              </w:rPr>
            </w:pPr>
            <w:r>
              <w:rPr>
                <w:i/>
                <w:iCs/>
                <w:color w:val="000000"/>
              </w:rPr>
              <w:t>Alquiler de Mobiliarios y Equipos de Oficina</w:t>
            </w:r>
          </w:p>
        </w:tc>
        <w:tc>
          <w:tcPr>
            <w:tcW w:w="1553" w:type="dxa"/>
            <w:tcBorders>
              <w:top w:val="nil"/>
              <w:left w:val="nil"/>
              <w:bottom w:val="nil"/>
              <w:right w:val="nil"/>
            </w:tcBorders>
            <w:shd w:val="clear" w:color="auto" w:fill="auto"/>
            <w:noWrap/>
            <w:hideMark/>
          </w:tcPr>
          <w:p w14:paraId="5C2D85B9" w14:textId="77777777" w:rsidR="001B27CA" w:rsidRPr="003D04FA" w:rsidRDefault="001B27CA" w:rsidP="007949F7">
            <w:pPr>
              <w:spacing w:line="360" w:lineRule="auto"/>
              <w:jc w:val="right"/>
              <w:rPr>
                <w:i/>
                <w:iCs/>
                <w:color w:val="000000"/>
              </w:rPr>
            </w:pPr>
            <w:r>
              <w:rPr>
                <w:i/>
                <w:iCs/>
                <w:color w:val="000000"/>
              </w:rPr>
              <w:t>694,916.16</w:t>
            </w:r>
          </w:p>
        </w:tc>
        <w:tc>
          <w:tcPr>
            <w:tcW w:w="1771" w:type="dxa"/>
            <w:tcBorders>
              <w:top w:val="nil"/>
              <w:left w:val="nil"/>
              <w:bottom w:val="nil"/>
              <w:right w:val="nil"/>
            </w:tcBorders>
            <w:shd w:val="clear" w:color="auto" w:fill="auto"/>
            <w:noWrap/>
            <w:hideMark/>
          </w:tcPr>
          <w:p w14:paraId="596FE58B" w14:textId="77777777" w:rsidR="001B27CA" w:rsidRPr="001A3C8D" w:rsidRDefault="001B27CA" w:rsidP="007949F7">
            <w:pPr>
              <w:spacing w:line="360" w:lineRule="auto"/>
              <w:jc w:val="right"/>
              <w:rPr>
                <w:i/>
                <w:iCs/>
                <w:color w:val="000000"/>
              </w:rPr>
            </w:pPr>
            <w:r>
              <w:rPr>
                <w:i/>
                <w:iCs/>
                <w:color w:val="000000"/>
              </w:rPr>
              <w:t>694,916.16</w:t>
            </w:r>
          </w:p>
        </w:tc>
      </w:tr>
      <w:tr w:rsidR="001B27CA" w:rsidRPr="001A3C8D" w14:paraId="09901E3F" w14:textId="77777777" w:rsidTr="001A43F4">
        <w:trPr>
          <w:trHeight w:val="282"/>
        </w:trPr>
        <w:tc>
          <w:tcPr>
            <w:tcW w:w="5480" w:type="dxa"/>
            <w:tcBorders>
              <w:top w:val="nil"/>
              <w:left w:val="nil"/>
              <w:bottom w:val="nil"/>
              <w:right w:val="nil"/>
            </w:tcBorders>
            <w:shd w:val="clear" w:color="auto" w:fill="auto"/>
            <w:noWrap/>
          </w:tcPr>
          <w:p w14:paraId="287FBC1C" w14:textId="77777777" w:rsidR="001B27CA" w:rsidRDefault="001B27CA" w:rsidP="007949F7">
            <w:pPr>
              <w:spacing w:line="360" w:lineRule="auto"/>
              <w:rPr>
                <w:i/>
                <w:iCs/>
                <w:color w:val="000000"/>
              </w:rPr>
            </w:pPr>
            <w:r>
              <w:rPr>
                <w:i/>
                <w:iCs/>
                <w:color w:val="000000"/>
              </w:rPr>
              <w:t>Otros Alquileres</w:t>
            </w:r>
          </w:p>
        </w:tc>
        <w:tc>
          <w:tcPr>
            <w:tcW w:w="1553" w:type="dxa"/>
            <w:tcBorders>
              <w:top w:val="nil"/>
              <w:left w:val="nil"/>
              <w:bottom w:val="nil"/>
              <w:right w:val="nil"/>
            </w:tcBorders>
            <w:shd w:val="clear" w:color="auto" w:fill="auto"/>
            <w:noWrap/>
          </w:tcPr>
          <w:p w14:paraId="476053E4" w14:textId="77777777" w:rsidR="001B27CA" w:rsidRPr="003D04FA" w:rsidRDefault="001B27CA" w:rsidP="007949F7">
            <w:pPr>
              <w:spacing w:line="360" w:lineRule="auto"/>
              <w:jc w:val="right"/>
              <w:rPr>
                <w:i/>
                <w:iCs/>
                <w:color w:val="000000"/>
              </w:rPr>
            </w:pPr>
            <w:r w:rsidRPr="003D04FA">
              <w:rPr>
                <w:i/>
                <w:iCs/>
                <w:color w:val="000000"/>
              </w:rPr>
              <w:t>0.00</w:t>
            </w:r>
          </w:p>
        </w:tc>
        <w:tc>
          <w:tcPr>
            <w:tcW w:w="1771" w:type="dxa"/>
            <w:tcBorders>
              <w:top w:val="nil"/>
              <w:left w:val="nil"/>
              <w:bottom w:val="nil"/>
              <w:right w:val="nil"/>
            </w:tcBorders>
            <w:shd w:val="clear" w:color="auto" w:fill="auto"/>
            <w:noWrap/>
          </w:tcPr>
          <w:p w14:paraId="557F23E0" w14:textId="77777777" w:rsidR="001B27CA" w:rsidRPr="001A3C8D" w:rsidRDefault="001B27CA" w:rsidP="007949F7">
            <w:pPr>
              <w:spacing w:line="360" w:lineRule="auto"/>
              <w:jc w:val="right"/>
              <w:rPr>
                <w:i/>
                <w:iCs/>
                <w:color w:val="000000"/>
              </w:rPr>
            </w:pPr>
            <w:r>
              <w:rPr>
                <w:i/>
                <w:iCs/>
                <w:color w:val="000000"/>
              </w:rPr>
              <w:t>106,200</w:t>
            </w:r>
            <w:r w:rsidRPr="001A3C8D">
              <w:rPr>
                <w:i/>
                <w:iCs/>
                <w:color w:val="000000"/>
              </w:rPr>
              <w:t>.00</w:t>
            </w:r>
          </w:p>
        </w:tc>
      </w:tr>
      <w:tr w:rsidR="001B27CA" w:rsidRPr="001A3C8D" w14:paraId="17D7C80C" w14:textId="77777777" w:rsidTr="001A43F4">
        <w:trPr>
          <w:trHeight w:val="282"/>
        </w:trPr>
        <w:tc>
          <w:tcPr>
            <w:tcW w:w="5480" w:type="dxa"/>
            <w:tcBorders>
              <w:top w:val="nil"/>
              <w:left w:val="nil"/>
              <w:bottom w:val="nil"/>
              <w:right w:val="nil"/>
            </w:tcBorders>
            <w:shd w:val="clear" w:color="auto" w:fill="auto"/>
            <w:noWrap/>
            <w:hideMark/>
          </w:tcPr>
          <w:p w14:paraId="78E51081" w14:textId="77777777" w:rsidR="001B27CA" w:rsidRDefault="001B27CA" w:rsidP="007949F7">
            <w:pPr>
              <w:spacing w:line="360" w:lineRule="auto"/>
              <w:rPr>
                <w:i/>
                <w:iCs/>
                <w:color w:val="000000"/>
              </w:rPr>
            </w:pPr>
            <w:r>
              <w:rPr>
                <w:i/>
                <w:iCs/>
                <w:color w:val="000000"/>
              </w:rPr>
              <w:t>Seguros de Bienes Muebles</w:t>
            </w:r>
          </w:p>
        </w:tc>
        <w:tc>
          <w:tcPr>
            <w:tcW w:w="1553" w:type="dxa"/>
            <w:tcBorders>
              <w:top w:val="nil"/>
              <w:left w:val="nil"/>
              <w:bottom w:val="nil"/>
              <w:right w:val="nil"/>
            </w:tcBorders>
            <w:shd w:val="clear" w:color="auto" w:fill="auto"/>
            <w:noWrap/>
            <w:hideMark/>
          </w:tcPr>
          <w:p w14:paraId="06B718DB" w14:textId="77777777" w:rsidR="001B27CA" w:rsidRPr="003D04FA" w:rsidRDefault="001B27CA" w:rsidP="007949F7">
            <w:pPr>
              <w:spacing w:line="360" w:lineRule="auto"/>
              <w:jc w:val="right"/>
              <w:rPr>
                <w:i/>
                <w:iCs/>
                <w:color w:val="000000"/>
              </w:rPr>
            </w:pPr>
            <w:r>
              <w:rPr>
                <w:i/>
                <w:iCs/>
                <w:color w:val="000000"/>
              </w:rPr>
              <w:t>837,129.10</w:t>
            </w:r>
          </w:p>
        </w:tc>
        <w:tc>
          <w:tcPr>
            <w:tcW w:w="1771" w:type="dxa"/>
            <w:tcBorders>
              <w:top w:val="nil"/>
              <w:left w:val="nil"/>
              <w:bottom w:val="nil"/>
              <w:right w:val="nil"/>
            </w:tcBorders>
            <w:shd w:val="clear" w:color="auto" w:fill="auto"/>
            <w:noWrap/>
            <w:hideMark/>
          </w:tcPr>
          <w:p w14:paraId="394143EE" w14:textId="77777777" w:rsidR="001B27CA" w:rsidRPr="001A3C8D" w:rsidRDefault="001B27CA" w:rsidP="007949F7">
            <w:pPr>
              <w:spacing w:line="360" w:lineRule="auto"/>
              <w:jc w:val="right"/>
              <w:rPr>
                <w:i/>
                <w:iCs/>
                <w:color w:val="000000"/>
              </w:rPr>
            </w:pPr>
            <w:r>
              <w:rPr>
                <w:i/>
                <w:iCs/>
                <w:color w:val="000000"/>
              </w:rPr>
              <w:t>828,167.16</w:t>
            </w:r>
          </w:p>
        </w:tc>
      </w:tr>
      <w:tr w:rsidR="001B27CA" w:rsidRPr="001A3C8D" w14:paraId="11721DBB" w14:textId="77777777" w:rsidTr="001A43F4">
        <w:trPr>
          <w:trHeight w:val="282"/>
        </w:trPr>
        <w:tc>
          <w:tcPr>
            <w:tcW w:w="5480" w:type="dxa"/>
            <w:tcBorders>
              <w:top w:val="nil"/>
              <w:left w:val="nil"/>
              <w:bottom w:val="nil"/>
              <w:right w:val="nil"/>
            </w:tcBorders>
            <w:shd w:val="clear" w:color="auto" w:fill="auto"/>
            <w:noWrap/>
            <w:hideMark/>
          </w:tcPr>
          <w:p w14:paraId="4C222BE1" w14:textId="77777777" w:rsidR="001B27CA" w:rsidRDefault="001B27CA" w:rsidP="007949F7">
            <w:pPr>
              <w:spacing w:line="360" w:lineRule="auto"/>
              <w:rPr>
                <w:i/>
                <w:iCs/>
                <w:color w:val="000000"/>
              </w:rPr>
            </w:pPr>
            <w:r>
              <w:rPr>
                <w:i/>
                <w:iCs/>
                <w:color w:val="000000"/>
              </w:rPr>
              <w:t>Seguros de Personas</w:t>
            </w:r>
          </w:p>
        </w:tc>
        <w:tc>
          <w:tcPr>
            <w:tcW w:w="1553" w:type="dxa"/>
            <w:tcBorders>
              <w:top w:val="nil"/>
              <w:left w:val="nil"/>
              <w:bottom w:val="nil"/>
              <w:right w:val="nil"/>
            </w:tcBorders>
            <w:shd w:val="clear" w:color="auto" w:fill="auto"/>
            <w:noWrap/>
            <w:hideMark/>
          </w:tcPr>
          <w:p w14:paraId="55FA476E" w14:textId="77777777" w:rsidR="001B27CA" w:rsidRPr="003D04FA" w:rsidRDefault="001B27CA" w:rsidP="007949F7">
            <w:pPr>
              <w:spacing w:line="360" w:lineRule="auto"/>
              <w:jc w:val="right"/>
              <w:rPr>
                <w:i/>
                <w:iCs/>
                <w:color w:val="000000"/>
              </w:rPr>
            </w:pPr>
            <w:r>
              <w:rPr>
                <w:i/>
                <w:iCs/>
                <w:color w:val="000000"/>
              </w:rPr>
              <w:t>3,590,302.48</w:t>
            </w:r>
          </w:p>
        </w:tc>
        <w:tc>
          <w:tcPr>
            <w:tcW w:w="1771" w:type="dxa"/>
            <w:tcBorders>
              <w:top w:val="nil"/>
              <w:left w:val="nil"/>
              <w:bottom w:val="nil"/>
              <w:right w:val="nil"/>
            </w:tcBorders>
            <w:shd w:val="clear" w:color="auto" w:fill="auto"/>
            <w:noWrap/>
            <w:hideMark/>
          </w:tcPr>
          <w:p w14:paraId="7D9327FD" w14:textId="77777777" w:rsidR="001B27CA" w:rsidRPr="001A3C8D" w:rsidRDefault="001B27CA" w:rsidP="007949F7">
            <w:pPr>
              <w:spacing w:line="360" w:lineRule="auto"/>
              <w:jc w:val="right"/>
              <w:rPr>
                <w:i/>
                <w:iCs/>
                <w:color w:val="000000"/>
              </w:rPr>
            </w:pPr>
            <w:r>
              <w:rPr>
                <w:i/>
                <w:iCs/>
                <w:color w:val="000000"/>
              </w:rPr>
              <w:t>2,381,252.94</w:t>
            </w:r>
          </w:p>
        </w:tc>
      </w:tr>
      <w:tr w:rsidR="001B27CA" w:rsidRPr="001A3C8D" w14:paraId="2FEF9637" w14:textId="77777777" w:rsidTr="001A43F4">
        <w:trPr>
          <w:trHeight w:val="282"/>
        </w:trPr>
        <w:tc>
          <w:tcPr>
            <w:tcW w:w="5480" w:type="dxa"/>
            <w:tcBorders>
              <w:top w:val="nil"/>
              <w:left w:val="nil"/>
              <w:bottom w:val="nil"/>
              <w:right w:val="nil"/>
            </w:tcBorders>
            <w:shd w:val="clear" w:color="auto" w:fill="auto"/>
            <w:noWrap/>
            <w:hideMark/>
          </w:tcPr>
          <w:p w14:paraId="61EB5C7C" w14:textId="77777777" w:rsidR="001B27CA" w:rsidRDefault="001B27CA" w:rsidP="007949F7">
            <w:pPr>
              <w:spacing w:line="360" w:lineRule="auto"/>
              <w:rPr>
                <w:i/>
                <w:iCs/>
                <w:color w:val="000000"/>
              </w:rPr>
            </w:pPr>
            <w:r>
              <w:rPr>
                <w:i/>
                <w:iCs/>
                <w:color w:val="000000"/>
              </w:rPr>
              <w:t>Seguros de Bienes Inmuebles</w:t>
            </w:r>
          </w:p>
        </w:tc>
        <w:tc>
          <w:tcPr>
            <w:tcW w:w="1553" w:type="dxa"/>
            <w:tcBorders>
              <w:top w:val="nil"/>
              <w:left w:val="nil"/>
              <w:bottom w:val="nil"/>
              <w:right w:val="nil"/>
            </w:tcBorders>
            <w:shd w:val="clear" w:color="auto" w:fill="auto"/>
            <w:noWrap/>
            <w:hideMark/>
          </w:tcPr>
          <w:p w14:paraId="1D47DAD0" w14:textId="77777777" w:rsidR="001B27CA" w:rsidRPr="003D04FA" w:rsidRDefault="001B27CA" w:rsidP="007949F7">
            <w:pPr>
              <w:spacing w:line="360" w:lineRule="auto"/>
              <w:jc w:val="right"/>
              <w:rPr>
                <w:i/>
                <w:iCs/>
                <w:color w:val="000000"/>
              </w:rPr>
            </w:pPr>
            <w:r>
              <w:rPr>
                <w:i/>
                <w:iCs/>
                <w:color w:val="000000"/>
              </w:rPr>
              <w:t>664,280.94</w:t>
            </w:r>
          </w:p>
        </w:tc>
        <w:tc>
          <w:tcPr>
            <w:tcW w:w="1771" w:type="dxa"/>
            <w:tcBorders>
              <w:top w:val="nil"/>
              <w:left w:val="nil"/>
              <w:bottom w:val="nil"/>
              <w:right w:val="nil"/>
            </w:tcBorders>
            <w:shd w:val="clear" w:color="auto" w:fill="auto"/>
            <w:noWrap/>
            <w:hideMark/>
          </w:tcPr>
          <w:p w14:paraId="68A22844" w14:textId="77777777" w:rsidR="001B27CA" w:rsidRPr="001A3C8D" w:rsidRDefault="001B27CA" w:rsidP="007949F7">
            <w:pPr>
              <w:spacing w:line="360" w:lineRule="auto"/>
              <w:jc w:val="right"/>
              <w:rPr>
                <w:i/>
                <w:iCs/>
                <w:color w:val="000000"/>
              </w:rPr>
            </w:pPr>
            <w:r>
              <w:rPr>
                <w:i/>
                <w:iCs/>
                <w:color w:val="000000"/>
              </w:rPr>
              <w:t>648,078.99</w:t>
            </w:r>
          </w:p>
        </w:tc>
      </w:tr>
      <w:tr w:rsidR="001B27CA" w:rsidRPr="001A3C8D" w14:paraId="0A8A1844" w14:textId="77777777" w:rsidTr="001A43F4">
        <w:trPr>
          <w:trHeight w:val="282"/>
        </w:trPr>
        <w:tc>
          <w:tcPr>
            <w:tcW w:w="5480" w:type="dxa"/>
            <w:tcBorders>
              <w:top w:val="nil"/>
              <w:left w:val="nil"/>
              <w:bottom w:val="nil"/>
              <w:right w:val="nil"/>
            </w:tcBorders>
            <w:shd w:val="clear" w:color="auto" w:fill="auto"/>
            <w:noWrap/>
          </w:tcPr>
          <w:p w14:paraId="156289D5" w14:textId="77777777" w:rsidR="001B27CA" w:rsidRDefault="001B27CA" w:rsidP="007949F7">
            <w:pPr>
              <w:spacing w:line="360" w:lineRule="auto"/>
              <w:rPr>
                <w:i/>
                <w:iCs/>
                <w:color w:val="000000"/>
              </w:rPr>
            </w:pPr>
            <w:r>
              <w:rPr>
                <w:i/>
                <w:iCs/>
                <w:color w:val="000000"/>
              </w:rPr>
              <w:t>Obras Menores en Edificaciones</w:t>
            </w:r>
          </w:p>
        </w:tc>
        <w:tc>
          <w:tcPr>
            <w:tcW w:w="1553" w:type="dxa"/>
            <w:tcBorders>
              <w:top w:val="nil"/>
              <w:left w:val="nil"/>
              <w:bottom w:val="nil"/>
              <w:right w:val="nil"/>
            </w:tcBorders>
            <w:shd w:val="clear" w:color="auto" w:fill="auto"/>
            <w:noWrap/>
          </w:tcPr>
          <w:p w14:paraId="004E7FA8" w14:textId="77777777" w:rsidR="001B27CA" w:rsidRPr="003D04FA" w:rsidRDefault="001B27CA" w:rsidP="007949F7">
            <w:pPr>
              <w:spacing w:line="360" w:lineRule="auto"/>
              <w:jc w:val="right"/>
              <w:rPr>
                <w:i/>
                <w:iCs/>
                <w:color w:val="000000"/>
              </w:rPr>
            </w:pPr>
            <w:r w:rsidRPr="003D04FA">
              <w:rPr>
                <w:i/>
                <w:iCs/>
                <w:color w:val="000000"/>
              </w:rPr>
              <w:t>386,450.00</w:t>
            </w:r>
          </w:p>
        </w:tc>
        <w:tc>
          <w:tcPr>
            <w:tcW w:w="1771" w:type="dxa"/>
            <w:tcBorders>
              <w:top w:val="nil"/>
              <w:left w:val="nil"/>
              <w:bottom w:val="nil"/>
              <w:right w:val="nil"/>
            </w:tcBorders>
            <w:shd w:val="clear" w:color="auto" w:fill="auto"/>
            <w:noWrap/>
          </w:tcPr>
          <w:p w14:paraId="5E840A40" w14:textId="77777777" w:rsidR="001B27CA" w:rsidRPr="001A3C8D" w:rsidRDefault="001B27CA" w:rsidP="007949F7">
            <w:pPr>
              <w:spacing w:line="360" w:lineRule="auto"/>
              <w:jc w:val="right"/>
              <w:rPr>
                <w:i/>
                <w:iCs/>
                <w:color w:val="000000"/>
              </w:rPr>
            </w:pPr>
            <w:r>
              <w:rPr>
                <w:i/>
                <w:iCs/>
                <w:color w:val="000000"/>
              </w:rPr>
              <w:t>852,078</w:t>
            </w:r>
          </w:p>
        </w:tc>
      </w:tr>
      <w:tr w:rsidR="001B27CA" w:rsidRPr="001A3C8D" w14:paraId="21B818AF" w14:textId="77777777" w:rsidTr="001A43F4">
        <w:trPr>
          <w:trHeight w:val="282"/>
        </w:trPr>
        <w:tc>
          <w:tcPr>
            <w:tcW w:w="5480" w:type="dxa"/>
            <w:tcBorders>
              <w:top w:val="nil"/>
              <w:left w:val="nil"/>
              <w:bottom w:val="nil"/>
              <w:right w:val="nil"/>
            </w:tcBorders>
            <w:shd w:val="clear" w:color="auto" w:fill="auto"/>
            <w:noWrap/>
          </w:tcPr>
          <w:p w14:paraId="6ED1907D" w14:textId="77777777" w:rsidR="001B27CA" w:rsidRPr="00FC5FF7" w:rsidRDefault="001B27CA" w:rsidP="007949F7">
            <w:pPr>
              <w:spacing w:line="360" w:lineRule="auto"/>
              <w:rPr>
                <w:i/>
                <w:iCs/>
                <w:color w:val="000000"/>
              </w:rPr>
            </w:pPr>
            <w:r>
              <w:rPr>
                <w:i/>
                <w:iCs/>
                <w:color w:val="000000"/>
              </w:rPr>
              <w:t>Servicios especiales en Mantenimiento y Rep.</w:t>
            </w:r>
          </w:p>
        </w:tc>
        <w:tc>
          <w:tcPr>
            <w:tcW w:w="1553" w:type="dxa"/>
            <w:tcBorders>
              <w:top w:val="nil"/>
              <w:left w:val="nil"/>
              <w:bottom w:val="nil"/>
              <w:right w:val="nil"/>
            </w:tcBorders>
            <w:shd w:val="clear" w:color="auto" w:fill="auto"/>
            <w:noWrap/>
          </w:tcPr>
          <w:p w14:paraId="78A0F68E" w14:textId="77777777" w:rsidR="001B27CA" w:rsidRPr="003D04FA" w:rsidRDefault="001B27CA" w:rsidP="007949F7">
            <w:pPr>
              <w:spacing w:line="360" w:lineRule="auto"/>
              <w:jc w:val="right"/>
              <w:rPr>
                <w:i/>
                <w:iCs/>
                <w:color w:val="000000"/>
              </w:rPr>
            </w:pPr>
            <w:r>
              <w:rPr>
                <w:i/>
                <w:iCs/>
                <w:color w:val="000000"/>
              </w:rPr>
              <w:t>68,070.60</w:t>
            </w:r>
          </w:p>
        </w:tc>
        <w:tc>
          <w:tcPr>
            <w:tcW w:w="1771" w:type="dxa"/>
            <w:tcBorders>
              <w:top w:val="nil"/>
              <w:left w:val="nil"/>
              <w:bottom w:val="nil"/>
              <w:right w:val="nil"/>
            </w:tcBorders>
            <w:shd w:val="clear" w:color="auto" w:fill="auto"/>
            <w:noWrap/>
          </w:tcPr>
          <w:p w14:paraId="521F9C32" w14:textId="77777777" w:rsidR="001B27CA" w:rsidRPr="001A3C8D" w:rsidRDefault="001B27CA" w:rsidP="007949F7">
            <w:pPr>
              <w:spacing w:line="360" w:lineRule="auto"/>
              <w:jc w:val="right"/>
              <w:rPr>
                <w:i/>
                <w:iCs/>
                <w:color w:val="000000"/>
              </w:rPr>
            </w:pPr>
            <w:r w:rsidRPr="001A3C8D">
              <w:rPr>
                <w:i/>
                <w:iCs/>
                <w:color w:val="000000"/>
              </w:rPr>
              <w:t>0.00</w:t>
            </w:r>
          </w:p>
        </w:tc>
      </w:tr>
      <w:tr w:rsidR="001B27CA" w:rsidRPr="001A3C8D" w14:paraId="6F342C5B" w14:textId="77777777" w:rsidTr="001A43F4">
        <w:trPr>
          <w:trHeight w:val="282"/>
        </w:trPr>
        <w:tc>
          <w:tcPr>
            <w:tcW w:w="5480" w:type="dxa"/>
            <w:tcBorders>
              <w:top w:val="nil"/>
              <w:left w:val="nil"/>
              <w:bottom w:val="nil"/>
              <w:right w:val="nil"/>
            </w:tcBorders>
            <w:shd w:val="clear" w:color="auto" w:fill="auto"/>
            <w:noWrap/>
          </w:tcPr>
          <w:p w14:paraId="2E97C858" w14:textId="77777777" w:rsidR="001B27CA" w:rsidRPr="00FC5FF7" w:rsidRDefault="001B27CA" w:rsidP="007949F7">
            <w:pPr>
              <w:spacing w:line="360" w:lineRule="auto"/>
              <w:rPr>
                <w:i/>
                <w:iCs/>
                <w:color w:val="000000"/>
              </w:rPr>
            </w:pPr>
            <w:r w:rsidRPr="00FC5FF7">
              <w:rPr>
                <w:i/>
                <w:iCs/>
                <w:color w:val="000000"/>
              </w:rPr>
              <w:t>Mantenimiento y Reparación de</w:t>
            </w:r>
            <w:r>
              <w:rPr>
                <w:i/>
                <w:iCs/>
                <w:color w:val="000000"/>
              </w:rPr>
              <w:t xml:space="preserve"> </w:t>
            </w:r>
            <w:proofErr w:type="spellStart"/>
            <w:r>
              <w:rPr>
                <w:i/>
                <w:iCs/>
                <w:color w:val="000000"/>
              </w:rPr>
              <w:t>Equip</w:t>
            </w:r>
            <w:proofErr w:type="spellEnd"/>
            <w:r>
              <w:rPr>
                <w:i/>
                <w:iCs/>
                <w:color w:val="000000"/>
              </w:rPr>
              <w:t>. de Comp.</w:t>
            </w:r>
          </w:p>
        </w:tc>
        <w:tc>
          <w:tcPr>
            <w:tcW w:w="1553" w:type="dxa"/>
            <w:tcBorders>
              <w:top w:val="nil"/>
              <w:left w:val="nil"/>
              <w:bottom w:val="nil"/>
              <w:right w:val="nil"/>
            </w:tcBorders>
            <w:shd w:val="clear" w:color="auto" w:fill="auto"/>
            <w:noWrap/>
          </w:tcPr>
          <w:p w14:paraId="0FED987C" w14:textId="77777777" w:rsidR="001B27CA" w:rsidRDefault="001B27CA" w:rsidP="007949F7">
            <w:pPr>
              <w:spacing w:line="360" w:lineRule="auto"/>
              <w:jc w:val="right"/>
              <w:rPr>
                <w:i/>
                <w:iCs/>
                <w:color w:val="000000"/>
              </w:rPr>
            </w:pPr>
            <w:r>
              <w:rPr>
                <w:i/>
                <w:iCs/>
                <w:color w:val="000000"/>
              </w:rPr>
              <w:t>30,680.00</w:t>
            </w:r>
          </w:p>
        </w:tc>
        <w:tc>
          <w:tcPr>
            <w:tcW w:w="1771" w:type="dxa"/>
            <w:tcBorders>
              <w:top w:val="nil"/>
              <w:left w:val="nil"/>
              <w:bottom w:val="nil"/>
              <w:right w:val="nil"/>
            </w:tcBorders>
            <w:shd w:val="clear" w:color="auto" w:fill="auto"/>
            <w:noWrap/>
          </w:tcPr>
          <w:p w14:paraId="28FF8F96" w14:textId="77777777" w:rsidR="001B27CA" w:rsidRPr="001A3C8D" w:rsidRDefault="001B27CA" w:rsidP="007949F7">
            <w:pPr>
              <w:spacing w:line="360" w:lineRule="auto"/>
              <w:jc w:val="right"/>
              <w:rPr>
                <w:i/>
                <w:iCs/>
                <w:color w:val="000000"/>
              </w:rPr>
            </w:pPr>
            <w:r>
              <w:rPr>
                <w:i/>
                <w:iCs/>
                <w:color w:val="000000"/>
              </w:rPr>
              <w:t>0.00</w:t>
            </w:r>
          </w:p>
        </w:tc>
      </w:tr>
      <w:tr w:rsidR="001B27CA" w:rsidRPr="001A3C8D" w14:paraId="0A33B50A" w14:textId="77777777" w:rsidTr="001A43F4">
        <w:trPr>
          <w:trHeight w:val="282"/>
        </w:trPr>
        <w:tc>
          <w:tcPr>
            <w:tcW w:w="5480" w:type="dxa"/>
            <w:tcBorders>
              <w:top w:val="nil"/>
              <w:left w:val="nil"/>
              <w:bottom w:val="nil"/>
              <w:right w:val="nil"/>
            </w:tcBorders>
            <w:shd w:val="clear" w:color="auto" w:fill="auto"/>
            <w:noWrap/>
          </w:tcPr>
          <w:p w14:paraId="3F96881C" w14:textId="77777777" w:rsidR="001B27CA" w:rsidRDefault="001B27CA" w:rsidP="007949F7">
            <w:pPr>
              <w:spacing w:line="360" w:lineRule="auto"/>
              <w:rPr>
                <w:i/>
                <w:iCs/>
                <w:color w:val="000000"/>
              </w:rPr>
            </w:pPr>
            <w:r w:rsidRPr="00FC5FF7">
              <w:rPr>
                <w:i/>
                <w:iCs/>
                <w:color w:val="000000"/>
              </w:rPr>
              <w:t>Mantenimiento y Reparación de</w:t>
            </w:r>
            <w:r>
              <w:rPr>
                <w:i/>
                <w:iCs/>
                <w:color w:val="000000"/>
              </w:rPr>
              <w:t xml:space="preserve"> Muebles</w:t>
            </w:r>
          </w:p>
        </w:tc>
        <w:tc>
          <w:tcPr>
            <w:tcW w:w="1553" w:type="dxa"/>
            <w:tcBorders>
              <w:top w:val="nil"/>
              <w:left w:val="nil"/>
              <w:bottom w:val="nil"/>
              <w:right w:val="nil"/>
            </w:tcBorders>
            <w:shd w:val="clear" w:color="auto" w:fill="auto"/>
            <w:noWrap/>
          </w:tcPr>
          <w:p w14:paraId="0CF06720" w14:textId="77777777" w:rsidR="001B27CA" w:rsidRPr="003D04FA" w:rsidRDefault="001B27CA" w:rsidP="007949F7">
            <w:pPr>
              <w:spacing w:line="360" w:lineRule="auto"/>
              <w:jc w:val="right"/>
              <w:rPr>
                <w:i/>
                <w:iCs/>
                <w:color w:val="000000"/>
              </w:rPr>
            </w:pPr>
            <w:r>
              <w:rPr>
                <w:i/>
                <w:iCs/>
                <w:color w:val="000000"/>
              </w:rPr>
              <w:t>19,439.78</w:t>
            </w:r>
          </w:p>
        </w:tc>
        <w:tc>
          <w:tcPr>
            <w:tcW w:w="1771" w:type="dxa"/>
            <w:tcBorders>
              <w:top w:val="nil"/>
              <w:left w:val="nil"/>
              <w:bottom w:val="nil"/>
              <w:right w:val="nil"/>
            </w:tcBorders>
            <w:shd w:val="clear" w:color="auto" w:fill="auto"/>
            <w:noWrap/>
          </w:tcPr>
          <w:p w14:paraId="7DB0FF01" w14:textId="77777777" w:rsidR="001B27CA" w:rsidRPr="001A3C8D" w:rsidRDefault="001B27CA" w:rsidP="007949F7">
            <w:pPr>
              <w:spacing w:line="360" w:lineRule="auto"/>
              <w:jc w:val="right"/>
              <w:rPr>
                <w:i/>
                <w:iCs/>
                <w:color w:val="000000"/>
              </w:rPr>
            </w:pPr>
            <w:r w:rsidRPr="001A3C8D">
              <w:rPr>
                <w:i/>
                <w:iCs/>
                <w:color w:val="000000"/>
              </w:rPr>
              <w:t>0.00</w:t>
            </w:r>
          </w:p>
        </w:tc>
      </w:tr>
      <w:tr w:rsidR="001B27CA" w:rsidRPr="001A3C8D" w14:paraId="487B022D" w14:textId="77777777" w:rsidTr="001A43F4">
        <w:trPr>
          <w:trHeight w:val="282"/>
        </w:trPr>
        <w:tc>
          <w:tcPr>
            <w:tcW w:w="5480" w:type="dxa"/>
            <w:tcBorders>
              <w:top w:val="nil"/>
              <w:left w:val="nil"/>
              <w:bottom w:val="nil"/>
              <w:right w:val="nil"/>
            </w:tcBorders>
            <w:shd w:val="clear" w:color="auto" w:fill="auto"/>
            <w:noWrap/>
            <w:hideMark/>
          </w:tcPr>
          <w:p w14:paraId="7CB4F4DB" w14:textId="77777777" w:rsidR="001B27CA" w:rsidRDefault="001B27CA" w:rsidP="007949F7">
            <w:pPr>
              <w:spacing w:line="360" w:lineRule="auto"/>
              <w:rPr>
                <w:i/>
                <w:iCs/>
                <w:color w:val="000000"/>
              </w:rPr>
            </w:pPr>
            <w:r>
              <w:rPr>
                <w:i/>
                <w:iCs/>
                <w:color w:val="000000"/>
              </w:rPr>
              <w:t xml:space="preserve">Mantenimiento y Reparación de </w:t>
            </w:r>
            <w:proofErr w:type="spellStart"/>
            <w:r>
              <w:rPr>
                <w:i/>
                <w:iCs/>
                <w:color w:val="000000"/>
              </w:rPr>
              <w:t>Equip</w:t>
            </w:r>
            <w:proofErr w:type="spellEnd"/>
            <w:r>
              <w:rPr>
                <w:i/>
                <w:iCs/>
                <w:color w:val="000000"/>
              </w:rPr>
              <w:t xml:space="preserve">. de </w:t>
            </w:r>
            <w:proofErr w:type="spellStart"/>
            <w:r>
              <w:rPr>
                <w:i/>
                <w:iCs/>
                <w:color w:val="000000"/>
              </w:rPr>
              <w:t>Transp</w:t>
            </w:r>
            <w:proofErr w:type="spellEnd"/>
            <w:r>
              <w:rPr>
                <w:i/>
                <w:iCs/>
                <w:color w:val="000000"/>
              </w:rPr>
              <w:t>.</w:t>
            </w:r>
          </w:p>
        </w:tc>
        <w:tc>
          <w:tcPr>
            <w:tcW w:w="1553" w:type="dxa"/>
            <w:tcBorders>
              <w:top w:val="nil"/>
              <w:left w:val="nil"/>
              <w:bottom w:val="nil"/>
              <w:right w:val="nil"/>
            </w:tcBorders>
            <w:shd w:val="clear" w:color="auto" w:fill="auto"/>
            <w:noWrap/>
            <w:hideMark/>
          </w:tcPr>
          <w:p w14:paraId="4522668D" w14:textId="77777777" w:rsidR="001B27CA" w:rsidRPr="003D04FA" w:rsidRDefault="001B27CA" w:rsidP="007949F7">
            <w:pPr>
              <w:spacing w:line="360" w:lineRule="auto"/>
              <w:jc w:val="right"/>
              <w:rPr>
                <w:i/>
                <w:iCs/>
                <w:color w:val="000000"/>
              </w:rPr>
            </w:pPr>
            <w:r>
              <w:rPr>
                <w:i/>
                <w:iCs/>
                <w:color w:val="000000"/>
              </w:rPr>
              <w:t>302,027.90</w:t>
            </w:r>
          </w:p>
        </w:tc>
        <w:tc>
          <w:tcPr>
            <w:tcW w:w="1771" w:type="dxa"/>
            <w:tcBorders>
              <w:top w:val="nil"/>
              <w:left w:val="nil"/>
              <w:bottom w:val="nil"/>
              <w:right w:val="nil"/>
            </w:tcBorders>
            <w:shd w:val="clear" w:color="auto" w:fill="auto"/>
            <w:noWrap/>
            <w:hideMark/>
          </w:tcPr>
          <w:p w14:paraId="53C505C4" w14:textId="77777777" w:rsidR="001B27CA" w:rsidRPr="001A3C8D" w:rsidRDefault="001B27CA" w:rsidP="007949F7">
            <w:pPr>
              <w:spacing w:line="360" w:lineRule="auto"/>
              <w:jc w:val="right"/>
              <w:rPr>
                <w:i/>
                <w:iCs/>
                <w:color w:val="000000"/>
              </w:rPr>
            </w:pPr>
            <w:r>
              <w:rPr>
                <w:i/>
                <w:iCs/>
                <w:color w:val="000000"/>
              </w:rPr>
              <w:t>272,186.64</w:t>
            </w:r>
          </w:p>
        </w:tc>
      </w:tr>
      <w:tr w:rsidR="001B27CA" w:rsidRPr="001A3C8D" w14:paraId="64B998EF" w14:textId="77777777" w:rsidTr="001A43F4">
        <w:trPr>
          <w:trHeight w:val="282"/>
        </w:trPr>
        <w:tc>
          <w:tcPr>
            <w:tcW w:w="5480" w:type="dxa"/>
            <w:tcBorders>
              <w:top w:val="nil"/>
              <w:left w:val="nil"/>
              <w:bottom w:val="nil"/>
              <w:right w:val="nil"/>
            </w:tcBorders>
            <w:shd w:val="clear" w:color="auto" w:fill="auto"/>
            <w:noWrap/>
            <w:hideMark/>
          </w:tcPr>
          <w:p w14:paraId="320F4740" w14:textId="77777777" w:rsidR="001B27CA" w:rsidRDefault="001B27CA" w:rsidP="007949F7">
            <w:pPr>
              <w:spacing w:line="360" w:lineRule="auto"/>
              <w:rPr>
                <w:i/>
                <w:iCs/>
                <w:color w:val="000000"/>
              </w:rPr>
            </w:pPr>
            <w:r>
              <w:rPr>
                <w:i/>
                <w:iCs/>
                <w:color w:val="000000"/>
              </w:rPr>
              <w:t xml:space="preserve">Servicios de Mant. Reparación, desmontaje e </w:t>
            </w:r>
            <w:proofErr w:type="spellStart"/>
            <w:r>
              <w:rPr>
                <w:i/>
                <w:iCs/>
                <w:color w:val="000000"/>
              </w:rPr>
              <w:t>instal</w:t>
            </w:r>
            <w:proofErr w:type="spellEnd"/>
          </w:p>
        </w:tc>
        <w:tc>
          <w:tcPr>
            <w:tcW w:w="1553" w:type="dxa"/>
            <w:tcBorders>
              <w:top w:val="nil"/>
              <w:left w:val="nil"/>
              <w:bottom w:val="nil"/>
              <w:right w:val="nil"/>
            </w:tcBorders>
            <w:shd w:val="clear" w:color="auto" w:fill="auto"/>
            <w:noWrap/>
            <w:hideMark/>
          </w:tcPr>
          <w:p w14:paraId="0F2D1FFF" w14:textId="77777777" w:rsidR="001B27CA" w:rsidRPr="003D04FA" w:rsidRDefault="001B27CA" w:rsidP="007949F7">
            <w:pPr>
              <w:spacing w:line="360" w:lineRule="auto"/>
              <w:jc w:val="right"/>
              <w:rPr>
                <w:i/>
                <w:iCs/>
                <w:color w:val="000000"/>
              </w:rPr>
            </w:pPr>
            <w:r>
              <w:rPr>
                <w:i/>
                <w:iCs/>
                <w:color w:val="000000"/>
              </w:rPr>
              <w:t>148,064.64</w:t>
            </w:r>
          </w:p>
        </w:tc>
        <w:tc>
          <w:tcPr>
            <w:tcW w:w="1771" w:type="dxa"/>
            <w:tcBorders>
              <w:top w:val="nil"/>
              <w:left w:val="nil"/>
              <w:bottom w:val="nil"/>
              <w:right w:val="nil"/>
            </w:tcBorders>
            <w:shd w:val="clear" w:color="auto" w:fill="auto"/>
            <w:noWrap/>
            <w:hideMark/>
          </w:tcPr>
          <w:p w14:paraId="51312086" w14:textId="77777777" w:rsidR="001B27CA" w:rsidRPr="001A3C8D" w:rsidRDefault="001B27CA" w:rsidP="007949F7">
            <w:pPr>
              <w:spacing w:line="360" w:lineRule="auto"/>
              <w:jc w:val="right"/>
              <w:rPr>
                <w:i/>
                <w:iCs/>
                <w:color w:val="000000"/>
              </w:rPr>
            </w:pPr>
            <w:r>
              <w:rPr>
                <w:i/>
                <w:iCs/>
                <w:color w:val="000000"/>
              </w:rPr>
              <w:t>184,773.91</w:t>
            </w:r>
          </w:p>
        </w:tc>
      </w:tr>
      <w:tr w:rsidR="001B27CA" w:rsidRPr="001A3C8D" w14:paraId="289E1C92" w14:textId="77777777" w:rsidTr="001A43F4">
        <w:trPr>
          <w:trHeight w:val="282"/>
        </w:trPr>
        <w:tc>
          <w:tcPr>
            <w:tcW w:w="5480" w:type="dxa"/>
            <w:tcBorders>
              <w:top w:val="nil"/>
              <w:left w:val="nil"/>
              <w:bottom w:val="nil"/>
              <w:right w:val="nil"/>
            </w:tcBorders>
            <w:shd w:val="clear" w:color="auto" w:fill="auto"/>
            <w:noWrap/>
          </w:tcPr>
          <w:p w14:paraId="3F2CE403" w14:textId="77777777" w:rsidR="001B27CA" w:rsidRDefault="001B27CA" w:rsidP="007949F7">
            <w:pPr>
              <w:spacing w:line="360" w:lineRule="auto"/>
              <w:rPr>
                <w:i/>
                <w:iCs/>
                <w:color w:val="000000"/>
              </w:rPr>
            </w:pPr>
            <w:r>
              <w:rPr>
                <w:i/>
                <w:iCs/>
                <w:color w:val="000000"/>
              </w:rPr>
              <w:t>Fumigación</w:t>
            </w:r>
          </w:p>
        </w:tc>
        <w:tc>
          <w:tcPr>
            <w:tcW w:w="1553" w:type="dxa"/>
            <w:tcBorders>
              <w:top w:val="nil"/>
              <w:left w:val="nil"/>
              <w:bottom w:val="nil"/>
              <w:right w:val="nil"/>
            </w:tcBorders>
            <w:shd w:val="clear" w:color="auto" w:fill="auto"/>
            <w:noWrap/>
          </w:tcPr>
          <w:p w14:paraId="3834231A" w14:textId="77777777" w:rsidR="001B27CA" w:rsidRPr="003D04FA" w:rsidRDefault="001B27CA" w:rsidP="007949F7">
            <w:pPr>
              <w:spacing w:line="360" w:lineRule="auto"/>
              <w:jc w:val="right"/>
              <w:rPr>
                <w:i/>
                <w:iCs/>
                <w:color w:val="000000"/>
              </w:rPr>
            </w:pPr>
            <w:r>
              <w:rPr>
                <w:i/>
                <w:iCs/>
                <w:color w:val="000000"/>
              </w:rPr>
              <w:t>186,912.00</w:t>
            </w:r>
          </w:p>
        </w:tc>
        <w:tc>
          <w:tcPr>
            <w:tcW w:w="1771" w:type="dxa"/>
            <w:tcBorders>
              <w:top w:val="nil"/>
              <w:left w:val="nil"/>
              <w:bottom w:val="nil"/>
              <w:right w:val="nil"/>
            </w:tcBorders>
            <w:shd w:val="clear" w:color="auto" w:fill="auto"/>
            <w:noWrap/>
          </w:tcPr>
          <w:p w14:paraId="43337862" w14:textId="77777777" w:rsidR="001B27CA" w:rsidRPr="001A3C8D" w:rsidRDefault="001B27CA" w:rsidP="007949F7">
            <w:pPr>
              <w:spacing w:line="360" w:lineRule="auto"/>
              <w:jc w:val="right"/>
              <w:rPr>
                <w:i/>
                <w:iCs/>
                <w:color w:val="000000"/>
              </w:rPr>
            </w:pPr>
            <w:r>
              <w:rPr>
                <w:i/>
                <w:iCs/>
                <w:color w:val="000000"/>
              </w:rPr>
              <w:t>161,188.00</w:t>
            </w:r>
          </w:p>
        </w:tc>
      </w:tr>
      <w:tr w:rsidR="001B27CA" w:rsidRPr="001A3C8D" w14:paraId="38AB63F8" w14:textId="77777777" w:rsidTr="001A43F4">
        <w:trPr>
          <w:trHeight w:val="282"/>
        </w:trPr>
        <w:tc>
          <w:tcPr>
            <w:tcW w:w="5480" w:type="dxa"/>
            <w:tcBorders>
              <w:top w:val="nil"/>
              <w:left w:val="nil"/>
              <w:bottom w:val="nil"/>
              <w:right w:val="nil"/>
            </w:tcBorders>
            <w:shd w:val="clear" w:color="auto" w:fill="auto"/>
            <w:noWrap/>
          </w:tcPr>
          <w:p w14:paraId="54BAE621" w14:textId="77777777" w:rsidR="001B27CA" w:rsidRDefault="001B27CA" w:rsidP="007949F7">
            <w:pPr>
              <w:spacing w:line="360" w:lineRule="auto"/>
              <w:rPr>
                <w:i/>
                <w:iCs/>
                <w:color w:val="000000"/>
              </w:rPr>
            </w:pPr>
            <w:r>
              <w:rPr>
                <w:i/>
                <w:iCs/>
                <w:color w:val="000000"/>
              </w:rPr>
              <w:t>Eventos Generales</w:t>
            </w:r>
          </w:p>
        </w:tc>
        <w:tc>
          <w:tcPr>
            <w:tcW w:w="1553" w:type="dxa"/>
            <w:tcBorders>
              <w:top w:val="nil"/>
              <w:left w:val="nil"/>
              <w:bottom w:val="nil"/>
              <w:right w:val="nil"/>
            </w:tcBorders>
            <w:shd w:val="clear" w:color="auto" w:fill="auto"/>
            <w:noWrap/>
          </w:tcPr>
          <w:p w14:paraId="211B58B5" w14:textId="77777777" w:rsidR="001B27CA" w:rsidRDefault="001B27CA" w:rsidP="007949F7">
            <w:pPr>
              <w:spacing w:line="360" w:lineRule="auto"/>
              <w:jc w:val="right"/>
              <w:rPr>
                <w:i/>
                <w:iCs/>
                <w:color w:val="000000"/>
              </w:rPr>
            </w:pPr>
            <w:r>
              <w:rPr>
                <w:i/>
                <w:iCs/>
                <w:color w:val="000000"/>
              </w:rPr>
              <w:t>122,688.00</w:t>
            </w:r>
          </w:p>
        </w:tc>
        <w:tc>
          <w:tcPr>
            <w:tcW w:w="1771" w:type="dxa"/>
            <w:tcBorders>
              <w:top w:val="nil"/>
              <w:left w:val="nil"/>
              <w:bottom w:val="nil"/>
              <w:right w:val="nil"/>
            </w:tcBorders>
            <w:shd w:val="clear" w:color="auto" w:fill="auto"/>
            <w:noWrap/>
          </w:tcPr>
          <w:p w14:paraId="3126CDA1" w14:textId="77777777" w:rsidR="001B27CA" w:rsidRDefault="001B27CA" w:rsidP="007949F7">
            <w:pPr>
              <w:spacing w:line="360" w:lineRule="auto"/>
              <w:jc w:val="center"/>
              <w:rPr>
                <w:i/>
                <w:iCs/>
                <w:color w:val="000000"/>
              </w:rPr>
            </w:pPr>
            <w:r>
              <w:rPr>
                <w:i/>
                <w:iCs/>
                <w:color w:val="000000"/>
              </w:rPr>
              <w:t xml:space="preserve">                    0.00</w:t>
            </w:r>
          </w:p>
        </w:tc>
      </w:tr>
      <w:tr w:rsidR="001B27CA" w:rsidRPr="001A3C8D" w14:paraId="0567CBA3" w14:textId="77777777" w:rsidTr="001A43F4">
        <w:trPr>
          <w:trHeight w:val="282"/>
        </w:trPr>
        <w:tc>
          <w:tcPr>
            <w:tcW w:w="5480" w:type="dxa"/>
            <w:tcBorders>
              <w:top w:val="nil"/>
              <w:left w:val="nil"/>
              <w:bottom w:val="nil"/>
              <w:right w:val="nil"/>
            </w:tcBorders>
            <w:shd w:val="clear" w:color="auto" w:fill="auto"/>
            <w:noWrap/>
          </w:tcPr>
          <w:p w14:paraId="2226E9B4" w14:textId="77777777" w:rsidR="001B27CA" w:rsidRDefault="001B27CA" w:rsidP="007949F7">
            <w:pPr>
              <w:spacing w:line="360" w:lineRule="auto"/>
              <w:rPr>
                <w:i/>
                <w:iCs/>
                <w:color w:val="000000"/>
              </w:rPr>
            </w:pPr>
            <w:r>
              <w:rPr>
                <w:i/>
                <w:iCs/>
                <w:color w:val="000000"/>
              </w:rPr>
              <w:t>Limpieza e Higiene</w:t>
            </w:r>
          </w:p>
        </w:tc>
        <w:tc>
          <w:tcPr>
            <w:tcW w:w="1553" w:type="dxa"/>
            <w:tcBorders>
              <w:top w:val="nil"/>
              <w:left w:val="nil"/>
              <w:bottom w:val="nil"/>
              <w:right w:val="nil"/>
            </w:tcBorders>
            <w:shd w:val="clear" w:color="auto" w:fill="auto"/>
            <w:noWrap/>
          </w:tcPr>
          <w:p w14:paraId="49E0523E" w14:textId="77777777" w:rsidR="001B27CA" w:rsidRPr="003D04FA" w:rsidRDefault="001B27CA" w:rsidP="007949F7">
            <w:pPr>
              <w:spacing w:line="360" w:lineRule="auto"/>
              <w:jc w:val="right"/>
              <w:rPr>
                <w:i/>
                <w:iCs/>
                <w:color w:val="000000"/>
              </w:rPr>
            </w:pPr>
            <w:r>
              <w:rPr>
                <w:i/>
                <w:iCs/>
                <w:color w:val="000000"/>
              </w:rPr>
              <w:t>136,519.91</w:t>
            </w:r>
          </w:p>
        </w:tc>
        <w:tc>
          <w:tcPr>
            <w:tcW w:w="1771" w:type="dxa"/>
            <w:tcBorders>
              <w:top w:val="nil"/>
              <w:left w:val="nil"/>
              <w:bottom w:val="nil"/>
              <w:right w:val="nil"/>
            </w:tcBorders>
            <w:shd w:val="clear" w:color="auto" w:fill="auto"/>
            <w:noWrap/>
          </w:tcPr>
          <w:p w14:paraId="3DBFE2AD" w14:textId="77777777" w:rsidR="001B27CA" w:rsidRPr="001A3C8D" w:rsidRDefault="001B27CA" w:rsidP="007949F7">
            <w:pPr>
              <w:spacing w:line="360" w:lineRule="auto"/>
              <w:jc w:val="right"/>
              <w:rPr>
                <w:i/>
                <w:iCs/>
                <w:color w:val="000000"/>
              </w:rPr>
            </w:pPr>
            <w:r>
              <w:rPr>
                <w:i/>
                <w:iCs/>
                <w:color w:val="000000"/>
              </w:rPr>
              <w:t>84,000.00</w:t>
            </w:r>
          </w:p>
        </w:tc>
      </w:tr>
      <w:tr w:rsidR="001B27CA" w:rsidRPr="001A3C8D" w14:paraId="7CFD27B2" w14:textId="77777777" w:rsidTr="001A43F4">
        <w:trPr>
          <w:trHeight w:val="282"/>
        </w:trPr>
        <w:tc>
          <w:tcPr>
            <w:tcW w:w="5480" w:type="dxa"/>
            <w:tcBorders>
              <w:top w:val="nil"/>
              <w:left w:val="nil"/>
              <w:bottom w:val="nil"/>
              <w:right w:val="nil"/>
            </w:tcBorders>
            <w:shd w:val="clear" w:color="auto" w:fill="auto"/>
            <w:noWrap/>
          </w:tcPr>
          <w:p w14:paraId="79FBD5F2" w14:textId="77777777" w:rsidR="001B27CA" w:rsidRDefault="001B27CA" w:rsidP="007949F7">
            <w:pPr>
              <w:spacing w:line="360" w:lineRule="auto"/>
              <w:rPr>
                <w:i/>
                <w:iCs/>
                <w:color w:val="000000"/>
              </w:rPr>
            </w:pPr>
            <w:r>
              <w:rPr>
                <w:i/>
                <w:iCs/>
                <w:color w:val="000000"/>
              </w:rPr>
              <w:lastRenderedPageBreak/>
              <w:t>Servicios de Contabilidad y Auditoría</w:t>
            </w:r>
          </w:p>
        </w:tc>
        <w:tc>
          <w:tcPr>
            <w:tcW w:w="1553" w:type="dxa"/>
            <w:tcBorders>
              <w:top w:val="nil"/>
              <w:left w:val="nil"/>
              <w:bottom w:val="nil"/>
              <w:right w:val="nil"/>
            </w:tcBorders>
            <w:shd w:val="clear" w:color="auto" w:fill="auto"/>
            <w:noWrap/>
          </w:tcPr>
          <w:p w14:paraId="4D4BABC9" w14:textId="77777777" w:rsidR="001B27CA" w:rsidRPr="003D04FA" w:rsidRDefault="001B27CA" w:rsidP="007949F7">
            <w:pPr>
              <w:spacing w:line="360" w:lineRule="auto"/>
              <w:jc w:val="right"/>
              <w:rPr>
                <w:i/>
                <w:iCs/>
                <w:color w:val="000000"/>
              </w:rPr>
            </w:pPr>
            <w:r w:rsidRPr="003D04FA">
              <w:rPr>
                <w:i/>
                <w:iCs/>
                <w:color w:val="000000"/>
              </w:rPr>
              <w:t>6</w:t>
            </w:r>
            <w:r>
              <w:rPr>
                <w:i/>
                <w:iCs/>
                <w:color w:val="000000"/>
              </w:rPr>
              <w:t>55,184.83</w:t>
            </w:r>
          </w:p>
        </w:tc>
        <w:tc>
          <w:tcPr>
            <w:tcW w:w="1771" w:type="dxa"/>
            <w:tcBorders>
              <w:top w:val="nil"/>
              <w:left w:val="nil"/>
              <w:bottom w:val="nil"/>
              <w:right w:val="nil"/>
            </w:tcBorders>
            <w:shd w:val="clear" w:color="auto" w:fill="auto"/>
            <w:noWrap/>
          </w:tcPr>
          <w:p w14:paraId="6B0A160F" w14:textId="77777777" w:rsidR="001B27CA" w:rsidRPr="001A3C8D" w:rsidRDefault="001B27CA" w:rsidP="007949F7">
            <w:pPr>
              <w:spacing w:line="360" w:lineRule="auto"/>
              <w:jc w:val="right"/>
              <w:rPr>
                <w:i/>
                <w:iCs/>
                <w:color w:val="000000"/>
              </w:rPr>
            </w:pPr>
            <w:r>
              <w:rPr>
                <w:i/>
                <w:iCs/>
                <w:color w:val="000000"/>
              </w:rPr>
              <w:t>1,289,461.47</w:t>
            </w:r>
          </w:p>
        </w:tc>
      </w:tr>
      <w:tr w:rsidR="001B27CA" w:rsidRPr="001A3C8D" w14:paraId="1E0A605F" w14:textId="77777777" w:rsidTr="001A43F4">
        <w:trPr>
          <w:trHeight w:val="282"/>
        </w:trPr>
        <w:tc>
          <w:tcPr>
            <w:tcW w:w="5480" w:type="dxa"/>
            <w:tcBorders>
              <w:top w:val="nil"/>
              <w:left w:val="nil"/>
              <w:bottom w:val="nil"/>
              <w:right w:val="nil"/>
            </w:tcBorders>
            <w:shd w:val="clear" w:color="auto" w:fill="auto"/>
            <w:noWrap/>
            <w:hideMark/>
          </w:tcPr>
          <w:p w14:paraId="16E8C763" w14:textId="77777777" w:rsidR="001B27CA" w:rsidRDefault="001B27CA" w:rsidP="007949F7">
            <w:pPr>
              <w:spacing w:line="360" w:lineRule="auto"/>
              <w:rPr>
                <w:i/>
                <w:iCs/>
                <w:color w:val="000000"/>
              </w:rPr>
            </w:pPr>
            <w:r>
              <w:rPr>
                <w:i/>
                <w:iCs/>
                <w:color w:val="000000"/>
              </w:rPr>
              <w:t>Servicios Jurídicos</w:t>
            </w:r>
          </w:p>
        </w:tc>
        <w:tc>
          <w:tcPr>
            <w:tcW w:w="1553" w:type="dxa"/>
            <w:tcBorders>
              <w:top w:val="nil"/>
              <w:left w:val="nil"/>
              <w:bottom w:val="nil"/>
              <w:right w:val="nil"/>
            </w:tcBorders>
            <w:shd w:val="clear" w:color="auto" w:fill="auto"/>
            <w:noWrap/>
            <w:hideMark/>
          </w:tcPr>
          <w:p w14:paraId="7B35CDD8" w14:textId="77777777" w:rsidR="001B27CA" w:rsidRPr="003D04FA" w:rsidRDefault="001B27CA" w:rsidP="007949F7">
            <w:pPr>
              <w:spacing w:line="360" w:lineRule="auto"/>
              <w:jc w:val="right"/>
              <w:rPr>
                <w:i/>
                <w:iCs/>
                <w:color w:val="000000"/>
              </w:rPr>
            </w:pPr>
            <w:r>
              <w:rPr>
                <w:i/>
                <w:iCs/>
                <w:color w:val="000000"/>
              </w:rPr>
              <w:t>2,955,841.00</w:t>
            </w:r>
          </w:p>
        </w:tc>
        <w:tc>
          <w:tcPr>
            <w:tcW w:w="1771" w:type="dxa"/>
            <w:tcBorders>
              <w:top w:val="nil"/>
              <w:left w:val="nil"/>
              <w:bottom w:val="nil"/>
              <w:right w:val="nil"/>
            </w:tcBorders>
            <w:shd w:val="clear" w:color="auto" w:fill="auto"/>
            <w:noWrap/>
            <w:hideMark/>
          </w:tcPr>
          <w:p w14:paraId="5A26D01A" w14:textId="77777777" w:rsidR="001B27CA" w:rsidRPr="001A3C8D" w:rsidRDefault="001B27CA" w:rsidP="007949F7">
            <w:pPr>
              <w:spacing w:line="360" w:lineRule="auto"/>
              <w:jc w:val="right"/>
              <w:rPr>
                <w:i/>
                <w:iCs/>
                <w:color w:val="000000"/>
              </w:rPr>
            </w:pPr>
            <w:r>
              <w:rPr>
                <w:i/>
                <w:iCs/>
                <w:color w:val="000000"/>
              </w:rPr>
              <w:t>2,517,176.00</w:t>
            </w:r>
          </w:p>
        </w:tc>
      </w:tr>
      <w:tr w:rsidR="001B27CA" w:rsidRPr="001A3C8D" w14:paraId="1985386E" w14:textId="77777777" w:rsidTr="001A43F4">
        <w:trPr>
          <w:trHeight w:val="282"/>
        </w:trPr>
        <w:tc>
          <w:tcPr>
            <w:tcW w:w="5480" w:type="dxa"/>
            <w:tcBorders>
              <w:top w:val="nil"/>
              <w:left w:val="nil"/>
              <w:bottom w:val="nil"/>
              <w:right w:val="nil"/>
            </w:tcBorders>
            <w:shd w:val="clear" w:color="auto" w:fill="auto"/>
            <w:noWrap/>
          </w:tcPr>
          <w:p w14:paraId="0F1FD7B5" w14:textId="77777777" w:rsidR="001B27CA" w:rsidRDefault="001B27CA" w:rsidP="007949F7">
            <w:pPr>
              <w:spacing w:line="360" w:lineRule="auto"/>
              <w:rPr>
                <w:i/>
                <w:iCs/>
                <w:color w:val="000000"/>
              </w:rPr>
            </w:pPr>
            <w:r>
              <w:rPr>
                <w:i/>
                <w:iCs/>
                <w:color w:val="000000"/>
              </w:rPr>
              <w:t>Servicios de Capacitación</w:t>
            </w:r>
          </w:p>
        </w:tc>
        <w:tc>
          <w:tcPr>
            <w:tcW w:w="1553" w:type="dxa"/>
            <w:tcBorders>
              <w:top w:val="nil"/>
              <w:left w:val="nil"/>
              <w:bottom w:val="nil"/>
              <w:right w:val="nil"/>
            </w:tcBorders>
            <w:shd w:val="clear" w:color="auto" w:fill="auto"/>
            <w:noWrap/>
          </w:tcPr>
          <w:p w14:paraId="53A30143" w14:textId="77777777" w:rsidR="001B27CA" w:rsidRPr="003D04FA" w:rsidRDefault="001B27CA" w:rsidP="007949F7">
            <w:pPr>
              <w:spacing w:line="360" w:lineRule="auto"/>
              <w:jc w:val="right"/>
              <w:rPr>
                <w:i/>
                <w:iCs/>
                <w:color w:val="000000"/>
              </w:rPr>
            </w:pPr>
            <w:r>
              <w:rPr>
                <w:i/>
                <w:iCs/>
                <w:color w:val="000000"/>
              </w:rPr>
              <w:t>2,667,327.38</w:t>
            </w:r>
          </w:p>
        </w:tc>
        <w:tc>
          <w:tcPr>
            <w:tcW w:w="1771" w:type="dxa"/>
            <w:tcBorders>
              <w:top w:val="nil"/>
              <w:left w:val="nil"/>
              <w:bottom w:val="nil"/>
              <w:right w:val="nil"/>
            </w:tcBorders>
            <w:shd w:val="clear" w:color="auto" w:fill="auto"/>
            <w:noWrap/>
          </w:tcPr>
          <w:p w14:paraId="2F743E42" w14:textId="77777777" w:rsidR="001B27CA" w:rsidRPr="001A3C8D" w:rsidRDefault="001B27CA" w:rsidP="007949F7">
            <w:pPr>
              <w:spacing w:line="360" w:lineRule="auto"/>
              <w:jc w:val="right"/>
              <w:rPr>
                <w:i/>
                <w:iCs/>
                <w:color w:val="000000"/>
              </w:rPr>
            </w:pPr>
            <w:r>
              <w:rPr>
                <w:i/>
                <w:iCs/>
                <w:color w:val="000000"/>
              </w:rPr>
              <w:t>1,103,193.00</w:t>
            </w:r>
          </w:p>
        </w:tc>
      </w:tr>
      <w:tr w:rsidR="001B27CA" w:rsidRPr="001A3C8D" w14:paraId="1F89E33E" w14:textId="77777777" w:rsidTr="001A43F4">
        <w:trPr>
          <w:trHeight w:val="282"/>
        </w:trPr>
        <w:tc>
          <w:tcPr>
            <w:tcW w:w="5480" w:type="dxa"/>
            <w:tcBorders>
              <w:top w:val="nil"/>
              <w:left w:val="nil"/>
              <w:bottom w:val="nil"/>
              <w:right w:val="nil"/>
            </w:tcBorders>
            <w:shd w:val="clear" w:color="auto" w:fill="auto"/>
            <w:noWrap/>
            <w:hideMark/>
          </w:tcPr>
          <w:p w14:paraId="26D28E42" w14:textId="77777777" w:rsidR="001B27CA" w:rsidRDefault="001B27CA" w:rsidP="007949F7">
            <w:pPr>
              <w:spacing w:line="360" w:lineRule="auto"/>
              <w:rPr>
                <w:i/>
                <w:iCs/>
                <w:color w:val="000000"/>
              </w:rPr>
            </w:pPr>
            <w:r>
              <w:rPr>
                <w:i/>
                <w:iCs/>
                <w:color w:val="000000"/>
              </w:rPr>
              <w:t xml:space="preserve">Servicios de Informática y </w:t>
            </w:r>
            <w:proofErr w:type="spellStart"/>
            <w:r>
              <w:rPr>
                <w:i/>
                <w:iCs/>
                <w:color w:val="000000"/>
              </w:rPr>
              <w:t>Sist</w:t>
            </w:r>
            <w:proofErr w:type="spellEnd"/>
            <w:r>
              <w:rPr>
                <w:i/>
                <w:iCs/>
                <w:color w:val="000000"/>
              </w:rPr>
              <w:t>. Computarizado</w:t>
            </w:r>
          </w:p>
        </w:tc>
        <w:tc>
          <w:tcPr>
            <w:tcW w:w="1553" w:type="dxa"/>
            <w:tcBorders>
              <w:top w:val="nil"/>
              <w:left w:val="nil"/>
              <w:bottom w:val="nil"/>
              <w:right w:val="nil"/>
            </w:tcBorders>
            <w:shd w:val="clear" w:color="auto" w:fill="auto"/>
            <w:noWrap/>
            <w:hideMark/>
          </w:tcPr>
          <w:p w14:paraId="76A83996" w14:textId="77777777" w:rsidR="001B27CA" w:rsidRPr="003D04FA" w:rsidRDefault="001B27CA" w:rsidP="007949F7">
            <w:pPr>
              <w:spacing w:line="360" w:lineRule="auto"/>
              <w:jc w:val="right"/>
              <w:rPr>
                <w:i/>
                <w:iCs/>
                <w:color w:val="000000"/>
              </w:rPr>
            </w:pPr>
            <w:r>
              <w:rPr>
                <w:i/>
                <w:iCs/>
                <w:color w:val="000000"/>
              </w:rPr>
              <w:t>1,088,559.37</w:t>
            </w:r>
          </w:p>
        </w:tc>
        <w:tc>
          <w:tcPr>
            <w:tcW w:w="1771" w:type="dxa"/>
            <w:tcBorders>
              <w:top w:val="nil"/>
              <w:left w:val="nil"/>
              <w:bottom w:val="nil"/>
              <w:right w:val="nil"/>
            </w:tcBorders>
            <w:shd w:val="clear" w:color="auto" w:fill="auto"/>
            <w:noWrap/>
            <w:hideMark/>
          </w:tcPr>
          <w:p w14:paraId="2EB637DD" w14:textId="77777777" w:rsidR="001B27CA" w:rsidRPr="001A3C8D" w:rsidRDefault="001B27CA" w:rsidP="007949F7">
            <w:pPr>
              <w:spacing w:line="360" w:lineRule="auto"/>
              <w:jc w:val="right"/>
              <w:rPr>
                <w:i/>
                <w:iCs/>
                <w:color w:val="000000"/>
              </w:rPr>
            </w:pPr>
            <w:r>
              <w:rPr>
                <w:i/>
                <w:iCs/>
                <w:color w:val="000000"/>
              </w:rPr>
              <w:t>1,316,998.24</w:t>
            </w:r>
          </w:p>
        </w:tc>
      </w:tr>
      <w:tr w:rsidR="001B27CA" w:rsidRPr="001A3C8D" w14:paraId="57935198" w14:textId="77777777" w:rsidTr="001A43F4">
        <w:trPr>
          <w:trHeight w:val="282"/>
        </w:trPr>
        <w:tc>
          <w:tcPr>
            <w:tcW w:w="5480" w:type="dxa"/>
            <w:tcBorders>
              <w:top w:val="nil"/>
              <w:left w:val="nil"/>
              <w:bottom w:val="nil"/>
              <w:right w:val="nil"/>
            </w:tcBorders>
            <w:shd w:val="clear" w:color="auto" w:fill="auto"/>
            <w:noWrap/>
            <w:hideMark/>
          </w:tcPr>
          <w:p w14:paraId="07DF7FB8" w14:textId="77777777" w:rsidR="001B27CA" w:rsidRDefault="001B27CA" w:rsidP="007949F7">
            <w:pPr>
              <w:spacing w:line="360" w:lineRule="auto"/>
              <w:rPr>
                <w:i/>
                <w:iCs/>
                <w:color w:val="000000"/>
              </w:rPr>
            </w:pPr>
            <w:r>
              <w:rPr>
                <w:i/>
                <w:iCs/>
                <w:color w:val="000000"/>
              </w:rPr>
              <w:t>Otros Servicios Técnicos Profesionales</w:t>
            </w:r>
          </w:p>
        </w:tc>
        <w:tc>
          <w:tcPr>
            <w:tcW w:w="1553" w:type="dxa"/>
            <w:tcBorders>
              <w:top w:val="nil"/>
              <w:left w:val="nil"/>
              <w:bottom w:val="nil"/>
              <w:right w:val="nil"/>
            </w:tcBorders>
            <w:shd w:val="clear" w:color="auto" w:fill="auto"/>
            <w:noWrap/>
            <w:hideMark/>
          </w:tcPr>
          <w:p w14:paraId="2433602E" w14:textId="77777777" w:rsidR="001B27CA" w:rsidRPr="003D04FA" w:rsidRDefault="001B27CA" w:rsidP="007949F7">
            <w:pPr>
              <w:spacing w:line="360" w:lineRule="auto"/>
              <w:jc w:val="right"/>
              <w:rPr>
                <w:i/>
                <w:iCs/>
                <w:color w:val="000000"/>
              </w:rPr>
            </w:pPr>
            <w:r>
              <w:rPr>
                <w:i/>
                <w:iCs/>
                <w:color w:val="000000"/>
              </w:rPr>
              <w:t>7,377,999.14</w:t>
            </w:r>
          </w:p>
        </w:tc>
        <w:tc>
          <w:tcPr>
            <w:tcW w:w="1771" w:type="dxa"/>
            <w:tcBorders>
              <w:top w:val="nil"/>
              <w:left w:val="nil"/>
              <w:bottom w:val="nil"/>
              <w:right w:val="nil"/>
            </w:tcBorders>
            <w:shd w:val="clear" w:color="auto" w:fill="auto"/>
            <w:noWrap/>
            <w:hideMark/>
          </w:tcPr>
          <w:p w14:paraId="61FD903D" w14:textId="77777777" w:rsidR="001B27CA" w:rsidRPr="001A3C8D" w:rsidRDefault="001B27CA" w:rsidP="007949F7">
            <w:pPr>
              <w:spacing w:line="360" w:lineRule="auto"/>
              <w:jc w:val="right"/>
              <w:rPr>
                <w:i/>
                <w:iCs/>
                <w:color w:val="000000"/>
              </w:rPr>
            </w:pPr>
            <w:r>
              <w:rPr>
                <w:i/>
                <w:iCs/>
                <w:color w:val="000000"/>
              </w:rPr>
              <w:t>5,418,987.82</w:t>
            </w:r>
          </w:p>
        </w:tc>
      </w:tr>
      <w:tr w:rsidR="001B27CA" w:rsidRPr="001A3C8D" w14:paraId="62215E68" w14:textId="77777777" w:rsidTr="001A43F4">
        <w:trPr>
          <w:trHeight w:val="282"/>
        </w:trPr>
        <w:tc>
          <w:tcPr>
            <w:tcW w:w="5480" w:type="dxa"/>
            <w:tcBorders>
              <w:top w:val="nil"/>
              <w:left w:val="nil"/>
              <w:bottom w:val="nil"/>
              <w:right w:val="nil"/>
            </w:tcBorders>
            <w:shd w:val="clear" w:color="auto" w:fill="auto"/>
            <w:noWrap/>
          </w:tcPr>
          <w:p w14:paraId="49AE2177" w14:textId="77777777" w:rsidR="001B27CA" w:rsidRDefault="001B27CA" w:rsidP="007949F7">
            <w:pPr>
              <w:spacing w:line="360" w:lineRule="auto"/>
              <w:rPr>
                <w:i/>
                <w:iCs/>
                <w:color w:val="000000"/>
              </w:rPr>
            </w:pPr>
            <w:r>
              <w:rPr>
                <w:i/>
                <w:iCs/>
                <w:color w:val="000000"/>
              </w:rPr>
              <w:t>Impuestos</w:t>
            </w:r>
          </w:p>
        </w:tc>
        <w:tc>
          <w:tcPr>
            <w:tcW w:w="1553" w:type="dxa"/>
            <w:tcBorders>
              <w:top w:val="nil"/>
              <w:left w:val="nil"/>
              <w:bottom w:val="nil"/>
              <w:right w:val="nil"/>
            </w:tcBorders>
            <w:shd w:val="clear" w:color="auto" w:fill="auto"/>
            <w:noWrap/>
          </w:tcPr>
          <w:p w14:paraId="3846A5A0" w14:textId="77777777" w:rsidR="001B27CA" w:rsidRPr="003D04FA" w:rsidRDefault="001B27CA" w:rsidP="007949F7">
            <w:pPr>
              <w:spacing w:line="360" w:lineRule="auto"/>
              <w:jc w:val="right"/>
              <w:rPr>
                <w:i/>
                <w:iCs/>
                <w:color w:val="000000"/>
              </w:rPr>
            </w:pPr>
            <w:r>
              <w:rPr>
                <w:i/>
                <w:iCs/>
                <w:color w:val="000000"/>
              </w:rPr>
              <w:t>178,336.34</w:t>
            </w:r>
          </w:p>
        </w:tc>
        <w:tc>
          <w:tcPr>
            <w:tcW w:w="1771" w:type="dxa"/>
            <w:tcBorders>
              <w:top w:val="nil"/>
              <w:left w:val="nil"/>
              <w:bottom w:val="nil"/>
              <w:right w:val="nil"/>
            </w:tcBorders>
            <w:shd w:val="clear" w:color="auto" w:fill="auto"/>
            <w:noWrap/>
          </w:tcPr>
          <w:p w14:paraId="094CCB56" w14:textId="77777777" w:rsidR="001B27CA" w:rsidRPr="001A3C8D" w:rsidRDefault="001B27CA" w:rsidP="007949F7">
            <w:pPr>
              <w:spacing w:line="360" w:lineRule="auto"/>
              <w:jc w:val="right"/>
              <w:rPr>
                <w:i/>
                <w:iCs/>
                <w:color w:val="000000"/>
              </w:rPr>
            </w:pPr>
            <w:r>
              <w:rPr>
                <w:i/>
                <w:iCs/>
                <w:color w:val="000000"/>
              </w:rPr>
              <w:t>113,652.87</w:t>
            </w:r>
          </w:p>
        </w:tc>
      </w:tr>
      <w:tr w:rsidR="001B27CA" w:rsidRPr="001A3C8D" w14:paraId="7AE9E8B8" w14:textId="77777777" w:rsidTr="001A43F4">
        <w:trPr>
          <w:trHeight w:val="282"/>
        </w:trPr>
        <w:tc>
          <w:tcPr>
            <w:tcW w:w="5480" w:type="dxa"/>
            <w:tcBorders>
              <w:top w:val="nil"/>
              <w:left w:val="nil"/>
              <w:bottom w:val="nil"/>
              <w:right w:val="nil"/>
            </w:tcBorders>
            <w:shd w:val="clear" w:color="auto" w:fill="auto"/>
            <w:noWrap/>
            <w:hideMark/>
          </w:tcPr>
          <w:p w14:paraId="352FB684" w14:textId="77777777" w:rsidR="001B27CA" w:rsidRDefault="001B27CA" w:rsidP="007949F7">
            <w:pPr>
              <w:spacing w:line="360" w:lineRule="auto"/>
              <w:rPr>
                <w:i/>
                <w:iCs/>
                <w:color w:val="000000"/>
              </w:rPr>
            </w:pPr>
            <w:r>
              <w:rPr>
                <w:i/>
                <w:iCs/>
                <w:color w:val="000000"/>
              </w:rPr>
              <w:t>Comisiones y Cargos Bancarios</w:t>
            </w:r>
          </w:p>
        </w:tc>
        <w:tc>
          <w:tcPr>
            <w:tcW w:w="1553" w:type="dxa"/>
            <w:tcBorders>
              <w:top w:val="nil"/>
              <w:left w:val="nil"/>
              <w:bottom w:val="nil"/>
              <w:right w:val="nil"/>
            </w:tcBorders>
            <w:shd w:val="clear" w:color="auto" w:fill="auto"/>
            <w:noWrap/>
            <w:hideMark/>
          </w:tcPr>
          <w:p w14:paraId="0279ADAA" w14:textId="77777777" w:rsidR="001B27CA" w:rsidRPr="003D04FA" w:rsidRDefault="001B27CA" w:rsidP="007949F7">
            <w:pPr>
              <w:spacing w:line="360" w:lineRule="auto"/>
              <w:jc w:val="right"/>
              <w:rPr>
                <w:i/>
                <w:iCs/>
                <w:color w:val="000000"/>
              </w:rPr>
            </w:pPr>
            <w:r>
              <w:rPr>
                <w:i/>
                <w:iCs/>
                <w:color w:val="000000"/>
              </w:rPr>
              <w:t>427,059.70</w:t>
            </w:r>
          </w:p>
        </w:tc>
        <w:tc>
          <w:tcPr>
            <w:tcW w:w="1771" w:type="dxa"/>
            <w:tcBorders>
              <w:top w:val="nil"/>
              <w:left w:val="nil"/>
              <w:bottom w:val="nil"/>
              <w:right w:val="nil"/>
            </w:tcBorders>
            <w:shd w:val="clear" w:color="auto" w:fill="auto"/>
            <w:noWrap/>
            <w:hideMark/>
          </w:tcPr>
          <w:p w14:paraId="1107FFB8" w14:textId="77777777" w:rsidR="001B27CA" w:rsidRPr="001A3C8D" w:rsidRDefault="001B27CA" w:rsidP="007949F7">
            <w:pPr>
              <w:spacing w:line="360" w:lineRule="auto"/>
              <w:jc w:val="right"/>
              <w:rPr>
                <w:i/>
                <w:iCs/>
                <w:color w:val="000000"/>
              </w:rPr>
            </w:pPr>
            <w:r>
              <w:rPr>
                <w:i/>
                <w:iCs/>
                <w:color w:val="000000"/>
              </w:rPr>
              <w:t>392,269.97</w:t>
            </w:r>
          </w:p>
        </w:tc>
      </w:tr>
      <w:tr w:rsidR="001B27CA" w:rsidRPr="001A3C8D" w14:paraId="473285B4" w14:textId="77777777" w:rsidTr="001A43F4">
        <w:trPr>
          <w:trHeight w:val="282"/>
        </w:trPr>
        <w:tc>
          <w:tcPr>
            <w:tcW w:w="5480" w:type="dxa"/>
            <w:tcBorders>
              <w:top w:val="nil"/>
              <w:left w:val="nil"/>
              <w:bottom w:val="nil"/>
              <w:right w:val="nil"/>
            </w:tcBorders>
            <w:shd w:val="clear" w:color="auto" w:fill="auto"/>
            <w:noWrap/>
            <w:hideMark/>
          </w:tcPr>
          <w:p w14:paraId="7A91D87F" w14:textId="77777777" w:rsidR="001B27CA" w:rsidRDefault="001B27CA" w:rsidP="007949F7">
            <w:pPr>
              <w:spacing w:line="360" w:lineRule="auto"/>
              <w:rPr>
                <w:i/>
                <w:iCs/>
                <w:color w:val="000000"/>
              </w:rPr>
            </w:pPr>
            <w:r>
              <w:rPr>
                <w:i/>
                <w:iCs/>
                <w:color w:val="000000"/>
              </w:rPr>
              <w:t>Lavandería</w:t>
            </w:r>
          </w:p>
        </w:tc>
        <w:tc>
          <w:tcPr>
            <w:tcW w:w="1553" w:type="dxa"/>
            <w:tcBorders>
              <w:top w:val="nil"/>
              <w:left w:val="nil"/>
              <w:bottom w:val="nil"/>
              <w:right w:val="nil"/>
            </w:tcBorders>
            <w:shd w:val="clear" w:color="auto" w:fill="auto"/>
            <w:noWrap/>
            <w:hideMark/>
          </w:tcPr>
          <w:p w14:paraId="482B7181" w14:textId="77777777" w:rsidR="001B27CA" w:rsidRPr="003D04FA" w:rsidRDefault="001B27CA" w:rsidP="007949F7">
            <w:pPr>
              <w:spacing w:line="360" w:lineRule="auto"/>
              <w:jc w:val="right"/>
              <w:rPr>
                <w:i/>
                <w:iCs/>
                <w:color w:val="000000"/>
              </w:rPr>
            </w:pPr>
            <w:r>
              <w:rPr>
                <w:i/>
                <w:iCs/>
                <w:color w:val="000000"/>
              </w:rPr>
              <w:t>20,534.90</w:t>
            </w:r>
          </w:p>
        </w:tc>
        <w:tc>
          <w:tcPr>
            <w:tcW w:w="1771" w:type="dxa"/>
            <w:tcBorders>
              <w:top w:val="nil"/>
              <w:left w:val="nil"/>
              <w:bottom w:val="nil"/>
              <w:right w:val="nil"/>
            </w:tcBorders>
            <w:shd w:val="clear" w:color="auto" w:fill="auto"/>
            <w:noWrap/>
            <w:hideMark/>
          </w:tcPr>
          <w:p w14:paraId="45AE34F5" w14:textId="77777777" w:rsidR="001B27CA" w:rsidRPr="001A3C8D" w:rsidRDefault="001B27CA" w:rsidP="007949F7">
            <w:pPr>
              <w:spacing w:line="360" w:lineRule="auto"/>
              <w:jc w:val="right"/>
              <w:rPr>
                <w:i/>
                <w:iCs/>
                <w:color w:val="000000"/>
              </w:rPr>
            </w:pPr>
            <w:r>
              <w:rPr>
                <w:i/>
                <w:iCs/>
                <w:color w:val="000000"/>
              </w:rPr>
              <w:t>17,627.12</w:t>
            </w:r>
          </w:p>
        </w:tc>
      </w:tr>
      <w:tr w:rsidR="001B27CA" w:rsidRPr="001A3C8D" w14:paraId="27EBA4CF" w14:textId="77777777" w:rsidTr="001A43F4">
        <w:trPr>
          <w:trHeight w:val="282"/>
        </w:trPr>
        <w:tc>
          <w:tcPr>
            <w:tcW w:w="5480" w:type="dxa"/>
            <w:tcBorders>
              <w:top w:val="nil"/>
              <w:left w:val="nil"/>
              <w:bottom w:val="nil"/>
              <w:right w:val="nil"/>
            </w:tcBorders>
            <w:shd w:val="clear" w:color="auto" w:fill="auto"/>
            <w:noWrap/>
            <w:hideMark/>
          </w:tcPr>
          <w:p w14:paraId="7840170A" w14:textId="77777777" w:rsidR="001B27CA" w:rsidRDefault="001B27CA" w:rsidP="007949F7">
            <w:pPr>
              <w:spacing w:line="360" w:lineRule="auto"/>
              <w:rPr>
                <w:i/>
                <w:iCs/>
                <w:color w:val="000000"/>
              </w:rPr>
            </w:pPr>
            <w:r>
              <w:rPr>
                <w:i/>
                <w:iCs/>
                <w:color w:val="000000"/>
              </w:rPr>
              <w:t xml:space="preserve">Otras Contrataciones de Servicios </w:t>
            </w:r>
          </w:p>
        </w:tc>
        <w:tc>
          <w:tcPr>
            <w:tcW w:w="1553" w:type="dxa"/>
            <w:tcBorders>
              <w:top w:val="nil"/>
              <w:left w:val="nil"/>
              <w:bottom w:val="nil"/>
              <w:right w:val="nil"/>
            </w:tcBorders>
            <w:shd w:val="clear" w:color="auto" w:fill="auto"/>
            <w:noWrap/>
            <w:hideMark/>
          </w:tcPr>
          <w:p w14:paraId="4DC0D3DE" w14:textId="77777777" w:rsidR="001B27CA" w:rsidRPr="003D04FA" w:rsidRDefault="001B27CA" w:rsidP="007949F7">
            <w:pPr>
              <w:spacing w:line="360" w:lineRule="auto"/>
              <w:jc w:val="right"/>
              <w:rPr>
                <w:i/>
                <w:iCs/>
                <w:color w:val="000000"/>
              </w:rPr>
            </w:pPr>
            <w:r w:rsidRPr="003D04FA">
              <w:rPr>
                <w:i/>
                <w:iCs/>
                <w:color w:val="000000"/>
              </w:rPr>
              <w:t>2,</w:t>
            </w:r>
            <w:r>
              <w:rPr>
                <w:i/>
                <w:iCs/>
                <w:color w:val="000000"/>
              </w:rPr>
              <w:t>665,851.48</w:t>
            </w:r>
          </w:p>
        </w:tc>
        <w:tc>
          <w:tcPr>
            <w:tcW w:w="1771" w:type="dxa"/>
            <w:tcBorders>
              <w:top w:val="nil"/>
              <w:left w:val="nil"/>
              <w:bottom w:val="nil"/>
              <w:right w:val="nil"/>
            </w:tcBorders>
            <w:shd w:val="clear" w:color="auto" w:fill="auto"/>
            <w:noWrap/>
            <w:hideMark/>
          </w:tcPr>
          <w:p w14:paraId="798CC197" w14:textId="77777777" w:rsidR="001B27CA" w:rsidRPr="001A3C8D" w:rsidRDefault="001B27CA" w:rsidP="007949F7">
            <w:pPr>
              <w:spacing w:line="360" w:lineRule="auto"/>
              <w:jc w:val="right"/>
              <w:rPr>
                <w:i/>
                <w:iCs/>
                <w:color w:val="000000"/>
              </w:rPr>
            </w:pPr>
            <w:r>
              <w:rPr>
                <w:i/>
                <w:iCs/>
                <w:color w:val="000000"/>
              </w:rPr>
              <w:t>2,707,040.59</w:t>
            </w:r>
          </w:p>
        </w:tc>
      </w:tr>
      <w:tr w:rsidR="001B27CA" w:rsidRPr="001A3C8D" w14:paraId="0F7F9F00" w14:textId="77777777" w:rsidTr="001A43F4">
        <w:trPr>
          <w:trHeight w:val="282"/>
        </w:trPr>
        <w:tc>
          <w:tcPr>
            <w:tcW w:w="5480" w:type="dxa"/>
            <w:tcBorders>
              <w:top w:val="nil"/>
              <w:left w:val="nil"/>
              <w:bottom w:val="nil"/>
              <w:right w:val="nil"/>
            </w:tcBorders>
            <w:shd w:val="clear" w:color="auto" w:fill="auto"/>
            <w:noWrap/>
            <w:hideMark/>
          </w:tcPr>
          <w:p w14:paraId="161E62DB" w14:textId="77777777" w:rsidR="001B27CA" w:rsidRDefault="001B27CA" w:rsidP="007949F7">
            <w:pPr>
              <w:spacing w:line="360" w:lineRule="auto"/>
              <w:rPr>
                <w:i/>
                <w:iCs/>
                <w:color w:val="000000"/>
              </w:rPr>
            </w:pPr>
            <w:r>
              <w:rPr>
                <w:i/>
                <w:iCs/>
                <w:color w:val="000000"/>
              </w:rPr>
              <w:t xml:space="preserve">Derecho de uso - Licencias Informáticas </w:t>
            </w:r>
          </w:p>
        </w:tc>
        <w:tc>
          <w:tcPr>
            <w:tcW w:w="1553" w:type="dxa"/>
            <w:tcBorders>
              <w:top w:val="nil"/>
              <w:left w:val="nil"/>
              <w:bottom w:val="nil"/>
              <w:right w:val="nil"/>
            </w:tcBorders>
            <w:shd w:val="clear" w:color="auto" w:fill="auto"/>
            <w:noWrap/>
            <w:hideMark/>
          </w:tcPr>
          <w:p w14:paraId="26C3343E" w14:textId="77777777" w:rsidR="001B27CA" w:rsidRPr="003D04FA" w:rsidRDefault="001B27CA" w:rsidP="007949F7">
            <w:pPr>
              <w:spacing w:line="360" w:lineRule="auto"/>
              <w:jc w:val="right"/>
              <w:rPr>
                <w:i/>
                <w:iCs/>
                <w:color w:val="000000"/>
              </w:rPr>
            </w:pPr>
            <w:r w:rsidRPr="003D04FA">
              <w:rPr>
                <w:i/>
                <w:iCs/>
                <w:color w:val="000000"/>
              </w:rPr>
              <w:t>2,735,182.95</w:t>
            </w:r>
          </w:p>
        </w:tc>
        <w:tc>
          <w:tcPr>
            <w:tcW w:w="1771" w:type="dxa"/>
            <w:tcBorders>
              <w:top w:val="nil"/>
              <w:left w:val="nil"/>
              <w:bottom w:val="nil"/>
              <w:right w:val="nil"/>
            </w:tcBorders>
            <w:shd w:val="clear" w:color="auto" w:fill="auto"/>
            <w:noWrap/>
            <w:hideMark/>
          </w:tcPr>
          <w:p w14:paraId="29B7E958" w14:textId="77777777" w:rsidR="001B27CA" w:rsidRPr="001A3C8D" w:rsidRDefault="001B27CA" w:rsidP="007949F7">
            <w:pPr>
              <w:spacing w:line="360" w:lineRule="auto"/>
              <w:jc w:val="right"/>
              <w:rPr>
                <w:i/>
                <w:iCs/>
                <w:color w:val="000000"/>
              </w:rPr>
            </w:pPr>
            <w:r>
              <w:rPr>
                <w:i/>
                <w:iCs/>
                <w:color w:val="000000"/>
              </w:rPr>
              <w:t>2,477,533.19</w:t>
            </w:r>
          </w:p>
        </w:tc>
      </w:tr>
      <w:tr w:rsidR="001B27CA" w:rsidRPr="003F09FE" w14:paraId="59B5CBD6" w14:textId="77777777" w:rsidTr="001A43F4">
        <w:trPr>
          <w:trHeight w:val="282"/>
        </w:trPr>
        <w:tc>
          <w:tcPr>
            <w:tcW w:w="5480" w:type="dxa"/>
            <w:tcBorders>
              <w:top w:val="nil"/>
              <w:left w:val="nil"/>
              <w:bottom w:val="nil"/>
              <w:right w:val="nil"/>
            </w:tcBorders>
            <w:shd w:val="clear" w:color="auto" w:fill="auto"/>
            <w:noWrap/>
            <w:hideMark/>
          </w:tcPr>
          <w:p w14:paraId="2E038829" w14:textId="77777777" w:rsidR="001B27CA" w:rsidRDefault="001B27CA" w:rsidP="007949F7">
            <w:pPr>
              <w:spacing w:line="360" w:lineRule="auto"/>
              <w:rPr>
                <w:i/>
                <w:iCs/>
                <w:color w:val="000000"/>
              </w:rPr>
            </w:pPr>
            <w:r>
              <w:rPr>
                <w:i/>
                <w:iCs/>
                <w:color w:val="000000"/>
              </w:rPr>
              <w:t>Servicios de Alimentación</w:t>
            </w:r>
          </w:p>
        </w:tc>
        <w:tc>
          <w:tcPr>
            <w:tcW w:w="1553" w:type="dxa"/>
            <w:tcBorders>
              <w:top w:val="nil"/>
              <w:left w:val="nil"/>
              <w:bottom w:val="nil"/>
              <w:right w:val="nil"/>
            </w:tcBorders>
            <w:shd w:val="clear" w:color="auto" w:fill="auto"/>
            <w:noWrap/>
            <w:hideMark/>
          </w:tcPr>
          <w:p w14:paraId="588B5978" w14:textId="77777777" w:rsidR="001B27CA" w:rsidRPr="003D04FA" w:rsidRDefault="001B27CA" w:rsidP="007949F7">
            <w:pPr>
              <w:spacing w:line="360" w:lineRule="auto"/>
              <w:jc w:val="right"/>
              <w:rPr>
                <w:i/>
                <w:iCs/>
                <w:color w:val="000000"/>
              </w:rPr>
            </w:pPr>
            <w:r w:rsidRPr="003D04FA">
              <w:rPr>
                <w:i/>
                <w:iCs/>
                <w:color w:val="000000"/>
                <w:u w:val="single"/>
              </w:rPr>
              <w:t xml:space="preserve">  </w:t>
            </w:r>
            <w:r>
              <w:rPr>
                <w:i/>
                <w:iCs/>
                <w:color w:val="000000"/>
                <w:u w:val="single"/>
              </w:rPr>
              <w:t>290,310.91</w:t>
            </w:r>
          </w:p>
        </w:tc>
        <w:tc>
          <w:tcPr>
            <w:tcW w:w="1771" w:type="dxa"/>
            <w:tcBorders>
              <w:top w:val="nil"/>
              <w:left w:val="nil"/>
              <w:bottom w:val="nil"/>
              <w:right w:val="nil"/>
            </w:tcBorders>
            <w:shd w:val="clear" w:color="auto" w:fill="auto"/>
            <w:noWrap/>
            <w:hideMark/>
          </w:tcPr>
          <w:p w14:paraId="74F442DB" w14:textId="77777777" w:rsidR="001B27CA" w:rsidRPr="00626D51" w:rsidRDefault="001B27CA" w:rsidP="007949F7">
            <w:pPr>
              <w:spacing w:line="360" w:lineRule="auto"/>
              <w:jc w:val="right"/>
              <w:rPr>
                <w:i/>
                <w:iCs/>
                <w:color w:val="000000"/>
                <w:u w:val="single"/>
              </w:rPr>
            </w:pPr>
            <w:r>
              <w:rPr>
                <w:i/>
                <w:iCs/>
                <w:color w:val="000000"/>
                <w:u w:val="single"/>
              </w:rPr>
              <w:t xml:space="preserve">   146,471.35</w:t>
            </w:r>
          </w:p>
        </w:tc>
      </w:tr>
      <w:tr w:rsidR="001B27CA" w14:paraId="2B3BF545" w14:textId="77777777" w:rsidTr="001A43F4">
        <w:trPr>
          <w:trHeight w:val="282"/>
        </w:trPr>
        <w:tc>
          <w:tcPr>
            <w:tcW w:w="5480" w:type="dxa"/>
            <w:tcBorders>
              <w:top w:val="nil"/>
              <w:left w:val="nil"/>
              <w:bottom w:val="nil"/>
              <w:right w:val="nil"/>
            </w:tcBorders>
            <w:shd w:val="clear" w:color="auto" w:fill="auto"/>
            <w:noWrap/>
            <w:vAlign w:val="center"/>
            <w:hideMark/>
          </w:tcPr>
          <w:p w14:paraId="2E59A962" w14:textId="203825E2" w:rsidR="001B27CA" w:rsidRDefault="001B27CA" w:rsidP="007949F7">
            <w:pPr>
              <w:spacing w:line="360" w:lineRule="auto"/>
              <w:rPr>
                <w:b/>
                <w:bCs/>
                <w:i/>
                <w:iCs/>
                <w:color w:val="000000"/>
              </w:rPr>
            </w:pPr>
            <w:proofErr w:type="gramStart"/>
            <w:r>
              <w:rPr>
                <w:b/>
                <w:bCs/>
                <w:i/>
                <w:iCs/>
                <w:color w:val="000000"/>
              </w:rPr>
              <w:t>Total</w:t>
            </w:r>
            <w:proofErr w:type="gramEnd"/>
            <w:r>
              <w:rPr>
                <w:b/>
                <w:bCs/>
                <w:i/>
                <w:iCs/>
                <w:color w:val="000000"/>
              </w:rPr>
              <w:t xml:space="preserve"> </w:t>
            </w:r>
            <w:r w:rsidR="00F0174A">
              <w:rPr>
                <w:b/>
                <w:bCs/>
                <w:i/>
                <w:iCs/>
                <w:color w:val="000000"/>
              </w:rPr>
              <w:t>O</w:t>
            </w:r>
            <w:r w:rsidR="00F0174A" w:rsidRPr="00F0174A">
              <w:rPr>
                <w:b/>
                <w:bCs/>
                <w:i/>
                <w:iCs/>
                <w:color w:val="000000"/>
              </w:rPr>
              <w:t>tros Gastos</w:t>
            </w:r>
          </w:p>
        </w:tc>
        <w:tc>
          <w:tcPr>
            <w:tcW w:w="1553" w:type="dxa"/>
            <w:tcBorders>
              <w:top w:val="nil"/>
              <w:left w:val="nil"/>
              <w:bottom w:val="nil"/>
              <w:right w:val="nil"/>
            </w:tcBorders>
            <w:shd w:val="clear" w:color="auto" w:fill="auto"/>
            <w:noWrap/>
            <w:hideMark/>
          </w:tcPr>
          <w:p w14:paraId="40C3E9DF" w14:textId="77777777" w:rsidR="001B27CA" w:rsidRDefault="001B27CA" w:rsidP="007949F7">
            <w:pPr>
              <w:spacing w:line="360" w:lineRule="auto"/>
              <w:rPr>
                <w:b/>
                <w:bCs/>
                <w:i/>
                <w:iCs/>
                <w:color w:val="000000"/>
                <w:u w:val="double"/>
              </w:rPr>
            </w:pPr>
            <w:r>
              <w:rPr>
                <w:b/>
                <w:bCs/>
                <w:i/>
                <w:iCs/>
                <w:color w:val="000000"/>
                <w:u w:val="double"/>
              </w:rPr>
              <w:t>46,292,206.88</w:t>
            </w:r>
          </w:p>
        </w:tc>
        <w:tc>
          <w:tcPr>
            <w:tcW w:w="1771" w:type="dxa"/>
            <w:tcBorders>
              <w:top w:val="nil"/>
              <w:left w:val="nil"/>
              <w:bottom w:val="nil"/>
              <w:right w:val="nil"/>
            </w:tcBorders>
            <w:shd w:val="clear" w:color="auto" w:fill="auto"/>
            <w:noWrap/>
            <w:hideMark/>
          </w:tcPr>
          <w:p w14:paraId="36EFDE9D" w14:textId="77777777" w:rsidR="001B27CA" w:rsidRDefault="001B27CA" w:rsidP="007949F7">
            <w:pPr>
              <w:spacing w:line="360" w:lineRule="auto"/>
              <w:jc w:val="right"/>
              <w:rPr>
                <w:b/>
                <w:bCs/>
                <w:i/>
                <w:iCs/>
                <w:color w:val="000000"/>
                <w:u w:val="double"/>
              </w:rPr>
            </w:pPr>
            <w:r>
              <w:rPr>
                <w:b/>
                <w:bCs/>
                <w:i/>
                <w:iCs/>
                <w:color w:val="000000"/>
                <w:u w:val="double"/>
              </w:rPr>
              <w:t>37,442,547.58</w:t>
            </w:r>
          </w:p>
        </w:tc>
      </w:tr>
    </w:tbl>
    <w:p w14:paraId="32E7629C" w14:textId="77777777" w:rsidR="00757DA1" w:rsidRDefault="00757DA1" w:rsidP="007949F7">
      <w:pPr>
        <w:spacing w:line="360" w:lineRule="auto"/>
        <w:jc w:val="both"/>
        <w:rPr>
          <w:b/>
          <w:i/>
          <w:highlight w:val="yellow"/>
        </w:rPr>
      </w:pPr>
    </w:p>
    <w:p w14:paraId="32E7629D" w14:textId="77777777" w:rsidR="00757DA1" w:rsidRDefault="00757DA1" w:rsidP="007949F7">
      <w:pPr>
        <w:spacing w:line="360" w:lineRule="auto"/>
        <w:jc w:val="both"/>
        <w:rPr>
          <w:b/>
          <w:i/>
          <w:highlight w:val="yellow"/>
        </w:rPr>
      </w:pPr>
    </w:p>
    <w:p w14:paraId="32E7629E" w14:textId="77777777" w:rsidR="00757DA1" w:rsidRDefault="00757DA1" w:rsidP="001200B2">
      <w:pPr>
        <w:spacing w:line="360" w:lineRule="auto"/>
        <w:jc w:val="both"/>
        <w:rPr>
          <w:b/>
          <w:i/>
          <w:highlight w:val="yellow"/>
        </w:rPr>
      </w:pPr>
    </w:p>
    <w:p w14:paraId="32E7629F" w14:textId="77777777" w:rsidR="00757DA1" w:rsidRDefault="00757DA1" w:rsidP="001200B2">
      <w:pPr>
        <w:spacing w:line="360" w:lineRule="auto"/>
        <w:jc w:val="both"/>
        <w:rPr>
          <w:b/>
          <w:i/>
          <w:highlight w:val="yellow"/>
        </w:rPr>
      </w:pPr>
    </w:p>
    <w:p w14:paraId="32E762A0" w14:textId="77777777" w:rsidR="00757DA1" w:rsidRDefault="00757DA1" w:rsidP="001200B2">
      <w:pPr>
        <w:spacing w:line="360" w:lineRule="auto"/>
        <w:jc w:val="both"/>
        <w:rPr>
          <w:b/>
          <w:i/>
          <w:highlight w:val="yellow"/>
        </w:rPr>
      </w:pPr>
    </w:p>
    <w:p w14:paraId="32E762A1" w14:textId="77777777" w:rsidR="00757DA1" w:rsidRDefault="00757DA1" w:rsidP="001200B2">
      <w:pPr>
        <w:spacing w:line="360" w:lineRule="auto"/>
        <w:jc w:val="both"/>
        <w:rPr>
          <w:b/>
          <w:i/>
          <w:highlight w:val="yellow"/>
        </w:rPr>
      </w:pPr>
    </w:p>
    <w:p w14:paraId="32E762A2" w14:textId="77777777" w:rsidR="00757DA1" w:rsidRDefault="00757DA1" w:rsidP="001200B2">
      <w:pPr>
        <w:spacing w:line="360" w:lineRule="auto"/>
        <w:jc w:val="both"/>
        <w:rPr>
          <w:b/>
          <w:i/>
          <w:highlight w:val="yellow"/>
        </w:rPr>
      </w:pPr>
    </w:p>
    <w:p w14:paraId="32E762A3" w14:textId="77777777" w:rsidR="00757DA1" w:rsidRDefault="00757DA1" w:rsidP="001200B2">
      <w:pPr>
        <w:spacing w:line="360" w:lineRule="auto"/>
        <w:jc w:val="both"/>
        <w:rPr>
          <w:b/>
          <w:i/>
          <w:highlight w:val="yellow"/>
        </w:rPr>
      </w:pPr>
    </w:p>
    <w:p w14:paraId="32E762A4" w14:textId="77777777" w:rsidR="00757DA1" w:rsidRDefault="00757DA1" w:rsidP="001200B2">
      <w:pPr>
        <w:spacing w:line="360" w:lineRule="auto"/>
        <w:jc w:val="both"/>
        <w:rPr>
          <w:b/>
          <w:i/>
          <w:highlight w:val="yellow"/>
        </w:rPr>
      </w:pPr>
    </w:p>
    <w:p w14:paraId="32E762A5" w14:textId="77777777" w:rsidR="00757DA1" w:rsidRDefault="00757DA1" w:rsidP="001200B2">
      <w:pPr>
        <w:spacing w:line="360" w:lineRule="auto"/>
        <w:jc w:val="both"/>
        <w:rPr>
          <w:b/>
          <w:i/>
          <w:highlight w:val="yellow"/>
        </w:rPr>
      </w:pPr>
    </w:p>
    <w:p w14:paraId="32E762A6" w14:textId="77777777" w:rsidR="00757DA1" w:rsidRDefault="00757DA1" w:rsidP="001200B2">
      <w:pPr>
        <w:spacing w:line="360" w:lineRule="auto"/>
        <w:jc w:val="both"/>
        <w:rPr>
          <w:b/>
          <w:i/>
          <w:highlight w:val="yellow"/>
        </w:rPr>
      </w:pPr>
    </w:p>
    <w:p w14:paraId="32E762A7" w14:textId="77777777" w:rsidR="00757DA1" w:rsidRDefault="00757DA1" w:rsidP="001200B2">
      <w:pPr>
        <w:spacing w:line="360" w:lineRule="auto"/>
        <w:jc w:val="both"/>
        <w:rPr>
          <w:b/>
          <w:i/>
          <w:highlight w:val="yellow"/>
        </w:rPr>
      </w:pPr>
    </w:p>
    <w:p w14:paraId="32E762A8" w14:textId="77777777" w:rsidR="00757DA1" w:rsidRDefault="00757DA1" w:rsidP="001200B2">
      <w:pPr>
        <w:spacing w:line="360" w:lineRule="auto"/>
        <w:jc w:val="both"/>
        <w:rPr>
          <w:b/>
          <w:i/>
          <w:highlight w:val="yellow"/>
        </w:rPr>
      </w:pPr>
    </w:p>
    <w:p w14:paraId="32E762A9" w14:textId="77777777" w:rsidR="00757DA1" w:rsidRDefault="00757DA1" w:rsidP="001200B2">
      <w:pPr>
        <w:spacing w:line="360" w:lineRule="auto"/>
        <w:jc w:val="both"/>
        <w:rPr>
          <w:b/>
          <w:i/>
          <w:highlight w:val="yellow"/>
        </w:rPr>
      </w:pPr>
    </w:p>
    <w:p w14:paraId="32E762AA" w14:textId="77777777" w:rsidR="00757DA1" w:rsidRDefault="00757DA1" w:rsidP="001200B2">
      <w:pPr>
        <w:spacing w:line="360" w:lineRule="auto"/>
        <w:jc w:val="both"/>
        <w:rPr>
          <w:b/>
          <w:i/>
          <w:highlight w:val="yellow"/>
        </w:rPr>
      </w:pPr>
    </w:p>
    <w:p w14:paraId="32E762AB" w14:textId="77777777" w:rsidR="00757DA1" w:rsidRDefault="00757DA1" w:rsidP="001200B2">
      <w:pPr>
        <w:spacing w:line="360" w:lineRule="auto"/>
        <w:jc w:val="both"/>
        <w:rPr>
          <w:b/>
          <w:i/>
          <w:highlight w:val="yellow"/>
        </w:rPr>
      </w:pPr>
    </w:p>
    <w:p w14:paraId="32E762AC" w14:textId="77777777" w:rsidR="00757DA1" w:rsidRDefault="00757DA1" w:rsidP="001200B2">
      <w:pPr>
        <w:spacing w:line="360" w:lineRule="auto"/>
        <w:jc w:val="both"/>
        <w:rPr>
          <w:b/>
          <w:i/>
          <w:highlight w:val="yellow"/>
        </w:rPr>
      </w:pPr>
    </w:p>
    <w:p w14:paraId="32E762AD" w14:textId="77777777" w:rsidR="00757DA1" w:rsidRDefault="00757DA1" w:rsidP="001200B2">
      <w:pPr>
        <w:spacing w:line="360" w:lineRule="auto"/>
        <w:jc w:val="both"/>
        <w:rPr>
          <w:b/>
          <w:i/>
          <w:highlight w:val="yellow"/>
        </w:rPr>
      </w:pPr>
    </w:p>
    <w:p w14:paraId="32E762AE" w14:textId="77777777" w:rsidR="00192711" w:rsidRDefault="00192711" w:rsidP="001200B2">
      <w:pPr>
        <w:spacing w:line="360" w:lineRule="auto"/>
        <w:jc w:val="both"/>
        <w:rPr>
          <w:b/>
          <w:i/>
          <w:highlight w:val="yellow"/>
        </w:rPr>
      </w:pPr>
    </w:p>
    <w:p w14:paraId="32E762AF" w14:textId="77777777" w:rsidR="00BE68A9" w:rsidRDefault="00BE68A9" w:rsidP="001200B2">
      <w:pPr>
        <w:spacing w:line="360" w:lineRule="auto"/>
        <w:jc w:val="both"/>
        <w:rPr>
          <w:b/>
          <w:i/>
          <w:highlight w:val="yellow"/>
        </w:rPr>
      </w:pPr>
    </w:p>
    <w:p w14:paraId="32E762B0" w14:textId="77777777" w:rsidR="00CF7BA4" w:rsidRDefault="00CF7BA4" w:rsidP="001200B2">
      <w:pPr>
        <w:spacing w:line="360" w:lineRule="auto"/>
        <w:jc w:val="both"/>
        <w:rPr>
          <w:b/>
          <w:i/>
          <w:highlight w:val="yellow"/>
        </w:rPr>
      </w:pPr>
    </w:p>
    <w:p w14:paraId="32E762B1" w14:textId="77777777" w:rsidR="00CF7BA4" w:rsidRDefault="00CF7BA4" w:rsidP="001200B2">
      <w:pPr>
        <w:spacing w:line="360" w:lineRule="auto"/>
        <w:jc w:val="both"/>
        <w:rPr>
          <w:b/>
          <w:i/>
          <w:highlight w:val="yellow"/>
        </w:rPr>
      </w:pPr>
    </w:p>
    <w:p w14:paraId="32E762B2" w14:textId="77777777" w:rsidR="00192711" w:rsidRDefault="00192711" w:rsidP="001200B2">
      <w:pPr>
        <w:spacing w:line="360" w:lineRule="auto"/>
        <w:jc w:val="both"/>
        <w:rPr>
          <w:b/>
          <w:i/>
          <w:highlight w:val="yellow"/>
        </w:rPr>
      </w:pPr>
    </w:p>
    <w:p w14:paraId="32E762B3" w14:textId="77777777" w:rsidR="00757DA1" w:rsidRDefault="00757DA1" w:rsidP="001200B2">
      <w:pPr>
        <w:spacing w:line="360" w:lineRule="auto"/>
        <w:jc w:val="both"/>
        <w:rPr>
          <w:b/>
          <w:i/>
          <w:highlight w:val="yellow"/>
        </w:rPr>
      </w:pPr>
    </w:p>
    <w:p w14:paraId="32E762B4" w14:textId="77777777" w:rsidR="00757DA1" w:rsidRDefault="00757DA1" w:rsidP="001200B2">
      <w:pPr>
        <w:spacing w:line="360" w:lineRule="auto"/>
        <w:jc w:val="both"/>
        <w:rPr>
          <w:b/>
          <w:i/>
          <w:highlight w:val="yellow"/>
        </w:rPr>
      </w:pPr>
    </w:p>
    <w:p w14:paraId="0D94E395" w14:textId="77777777" w:rsidR="0050059E" w:rsidRDefault="0050059E" w:rsidP="001200B2">
      <w:pPr>
        <w:spacing w:line="360" w:lineRule="auto"/>
        <w:jc w:val="both"/>
        <w:rPr>
          <w:b/>
          <w:i/>
          <w:highlight w:val="yellow"/>
        </w:rPr>
      </w:pPr>
    </w:p>
    <w:p w14:paraId="3E9954F3" w14:textId="77777777" w:rsidR="00181A72" w:rsidRDefault="00181A72" w:rsidP="001200B2">
      <w:pPr>
        <w:spacing w:line="360" w:lineRule="auto"/>
        <w:jc w:val="both"/>
        <w:rPr>
          <w:b/>
          <w:i/>
          <w:highlight w:val="yellow"/>
        </w:rPr>
      </w:pPr>
    </w:p>
    <w:p w14:paraId="4E038046" w14:textId="77777777" w:rsidR="00181A72" w:rsidRDefault="00181A72" w:rsidP="001200B2">
      <w:pPr>
        <w:spacing w:line="360" w:lineRule="auto"/>
        <w:jc w:val="both"/>
        <w:rPr>
          <w:b/>
          <w:i/>
          <w:highlight w:val="yellow"/>
        </w:rPr>
      </w:pPr>
    </w:p>
    <w:p w14:paraId="3F8A65F0" w14:textId="77777777" w:rsidR="00181A72" w:rsidRDefault="00181A72" w:rsidP="001200B2">
      <w:pPr>
        <w:spacing w:line="360" w:lineRule="auto"/>
        <w:jc w:val="both"/>
        <w:rPr>
          <w:b/>
          <w:i/>
          <w:highlight w:val="yellow"/>
        </w:rPr>
      </w:pPr>
    </w:p>
    <w:p w14:paraId="24FBE460" w14:textId="77777777" w:rsidR="00181A72" w:rsidRDefault="00181A72" w:rsidP="001200B2">
      <w:pPr>
        <w:spacing w:line="360" w:lineRule="auto"/>
        <w:jc w:val="both"/>
        <w:rPr>
          <w:b/>
          <w:i/>
          <w:highlight w:val="yellow"/>
        </w:rPr>
      </w:pPr>
    </w:p>
    <w:p w14:paraId="16CDCAAE" w14:textId="77777777" w:rsidR="00181A72" w:rsidRDefault="00181A72" w:rsidP="001200B2">
      <w:pPr>
        <w:spacing w:line="360" w:lineRule="auto"/>
        <w:jc w:val="both"/>
        <w:rPr>
          <w:b/>
          <w:i/>
          <w:highlight w:val="yellow"/>
        </w:rPr>
      </w:pPr>
    </w:p>
    <w:p w14:paraId="46DDA805" w14:textId="77777777" w:rsidR="00181A72" w:rsidRDefault="00181A72" w:rsidP="001200B2">
      <w:pPr>
        <w:spacing w:line="360" w:lineRule="auto"/>
        <w:jc w:val="both"/>
        <w:rPr>
          <w:b/>
          <w:i/>
          <w:highlight w:val="yellow"/>
        </w:rPr>
      </w:pPr>
    </w:p>
    <w:p w14:paraId="1710E25C" w14:textId="77777777" w:rsidR="00181A72" w:rsidRDefault="00181A72" w:rsidP="001200B2">
      <w:pPr>
        <w:spacing w:line="360" w:lineRule="auto"/>
        <w:jc w:val="both"/>
        <w:rPr>
          <w:b/>
          <w:i/>
          <w:highlight w:val="yellow"/>
        </w:rPr>
      </w:pPr>
    </w:p>
    <w:p w14:paraId="12F00BA0" w14:textId="77777777" w:rsidR="00181A72" w:rsidRDefault="00181A72" w:rsidP="001200B2">
      <w:pPr>
        <w:spacing w:line="360" w:lineRule="auto"/>
        <w:jc w:val="both"/>
        <w:rPr>
          <w:b/>
          <w:i/>
          <w:highlight w:val="yellow"/>
        </w:rPr>
      </w:pPr>
    </w:p>
    <w:p w14:paraId="386B3733" w14:textId="77777777" w:rsidR="00181A72" w:rsidRDefault="00181A72" w:rsidP="001200B2">
      <w:pPr>
        <w:spacing w:line="360" w:lineRule="auto"/>
        <w:jc w:val="both"/>
        <w:rPr>
          <w:b/>
          <w:i/>
          <w:highlight w:val="yellow"/>
        </w:rPr>
      </w:pPr>
    </w:p>
    <w:p w14:paraId="779FAD1D" w14:textId="77777777" w:rsidR="00181A72" w:rsidRDefault="00181A72" w:rsidP="001200B2">
      <w:pPr>
        <w:spacing w:line="360" w:lineRule="auto"/>
        <w:jc w:val="both"/>
        <w:rPr>
          <w:b/>
          <w:i/>
          <w:highlight w:val="yellow"/>
        </w:rPr>
      </w:pPr>
    </w:p>
    <w:p w14:paraId="62E090F6" w14:textId="77777777" w:rsidR="00181A72" w:rsidRDefault="00181A72" w:rsidP="001200B2">
      <w:pPr>
        <w:spacing w:line="360" w:lineRule="auto"/>
        <w:jc w:val="both"/>
        <w:rPr>
          <w:b/>
          <w:i/>
          <w:highlight w:val="yellow"/>
        </w:rPr>
      </w:pPr>
    </w:p>
    <w:p w14:paraId="1CA6EF02" w14:textId="77777777" w:rsidR="0050059E" w:rsidRDefault="0050059E" w:rsidP="001200B2">
      <w:pPr>
        <w:spacing w:line="360" w:lineRule="auto"/>
        <w:jc w:val="both"/>
        <w:rPr>
          <w:b/>
          <w:i/>
          <w:highlight w:val="yellow"/>
        </w:rPr>
      </w:pPr>
    </w:p>
    <w:p w14:paraId="6E4C014A" w14:textId="77777777" w:rsidR="0050059E" w:rsidRDefault="0050059E" w:rsidP="001200B2">
      <w:pPr>
        <w:spacing w:line="360" w:lineRule="auto"/>
        <w:jc w:val="both"/>
        <w:rPr>
          <w:b/>
          <w:i/>
          <w:highlight w:val="yellow"/>
        </w:rPr>
      </w:pPr>
    </w:p>
    <w:p w14:paraId="32E762B5" w14:textId="77777777" w:rsidR="00757DA1" w:rsidRDefault="00757DA1" w:rsidP="001200B2">
      <w:pPr>
        <w:spacing w:line="360" w:lineRule="auto"/>
        <w:jc w:val="both"/>
        <w:rPr>
          <w:b/>
          <w:i/>
          <w:highlight w:val="yellow"/>
        </w:rPr>
      </w:pPr>
    </w:p>
    <w:p w14:paraId="32E762B6" w14:textId="77777777" w:rsidR="00757DA1" w:rsidRDefault="00757DA1" w:rsidP="001200B2">
      <w:pPr>
        <w:spacing w:line="360" w:lineRule="auto"/>
        <w:jc w:val="both"/>
        <w:rPr>
          <w:b/>
          <w:i/>
          <w:highlight w:val="yellow"/>
        </w:rPr>
      </w:pPr>
    </w:p>
    <w:p w14:paraId="5541AEC9" w14:textId="77777777" w:rsidR="00900A9D" w:rsidRPr="004B3781" w:rsidRDefault="00900A9D" w:rsidP="00900A9D">
      <w:pPr>
        <w:pBdr>
          <w:top w:val="single" w:sz="4" w:space="1" w:color="auto"/>
          <w:left w:val="single" w:sz="4" w:space="0" w:color="auto"/>
          <w:bottom w:val="single" w:sz="4" w:space="1" w:color="auto"/>
          <w:right w:val="single" w:sz="4" w:space="4" w:color="auto"/>
        </w:pBdr>
        <w:spacing w:line="360" w:lineRule="auto"/>
        <w:ind w:left="851" w:right="758"/>
        <w:jc w:val="both"/>
        <w:rPr>
          <w:i/>
        </w:rPr>
      </w:pPr>
      <w:r w:rsidRPr="00C81537">
        <w:rPr>
          <w:i/>
        </w:rPr>
        <w:t>Firmado por el Superintendente de Pensiones</w:t>
      </w:r>
      <w:r>
        <w:rPr>
          <w:i/>
        </w:rPr>
        <w:t xml:space="preserve"> </w:t>
      </w:r>
      <w:r>
        <w:rPr>
          <w:b/>
          <w:i/>
        </w:rPr>
        <w:t>Francisco A. Torres,</w:t>
      </w:r>
      <w:r w:rsidRPr="00C81537">
        <w:rPr>
          <w:b/>
          <w:i/>
        </w:rPr>
        <w:t xml:space="preserve"> </w:t>
      </w:r>
      <w:r w:rsidRPr="00C81537">
        <w:rPr>
          <w:i/>
        </w:rPr>
        <w:t xml:space="preserve">designado por el Poder Ejecutivo mediante </w:t>
      </w:r>
      <w:r w:rsidRPr="00C81537">
        <w:rPr>
          <w:b/>
          <w:i/>
        </w:rPr>
        <w:t xml:space="preserve">Decreto </w:t>
      </w:r>
      <w:r>
        <w:rPr>
          <w:b/>
          <w:i/>
        </w:rPr>
        <w:t>700-22</w:t>
      </w:r>
      <w:r w:rsidRPr="00C81537">
        <w:rPr>
          <w:i/>
        </w:rPr>
        <w:t xml:space="preserve">, de fecha </w:t>
      </w:r>
      <w:r>
        <w:rPr>
          <w:i/>
        </w:rPr>
        <w:t>22</w:t>
      </w:r>
      <w:r w:rsidRPr="00C81537">
        <w:rPr>
          <w:i/>
        </w:rPr>
        <w:t xml:space="preserve"> de </w:t>
      </w:r>
      <w:r>
        <w:rPr>
          <w:i/>
        </w:rPr>
        <w:t>noviembre</w:t>
      </w:r>
      <w:r w:rsidRPr="00C81537">
        <w:rPr>
          <w:i/>
        </w:rPr>
        <w:t xml:space="preserve"> 20</w:t>
      </w:r>
      <w:r>
        <w:rPr>
          <w:i/>
        </w:rPr>
        <w:t>22, el</w:t>
      </w:r>
      <w:r w:rsidRPr="00C81537">
        <w:rPr>
          <w:i/>
        </w:rPr>
        <w:t xml:space="preserve"> </w:t>
      </w:r>
      <w:r w:rsidRPr="00C81537">
        <w:rPr>
          <w:b/>
          <w:i/>
        </w:rPr>
        <w:t>Lic.</w:t>
      </w:r>
      <w:r w:rsidRPr="00C81537">
        <w:rPr>
          <w:i/>
        </w:rPr>
        <w:t xml:space="preserve"> </w:t>
      </w:r>
      <w:r>
        <w:rPr>
          <w:b/>
          <w:i/>
        </w:rPr>
        <w:t xml:space="preserve">Juan </w:t>
      </w:r>
      <w:proofErr w:type="spellStart"/>
      <w:r>
        <w:rPr>
          <w:b/>
          <w:i/>
        </w:rPr>
        <w:t>Cancio</w:t>
      </w:r>
      <w:proofErr w:type="spellEnd"/>
      <w:r>
        <w:rPr>
          <w:b/>
          <w:i/>
        </w:rPr>
        <w:t xml:space="preserve"> Pérez Sierra</w:t>
      </w:r>
      <w:r w:rsidRPr="00C81537">
        <w:rPr>
          <w:b/>
          <w:i/>
        </w:rPr>
        <w:t xml:space="preserve">, CPA, Exequátur Número </w:t>
      </w:r>
      <w:r>
        <w:rPr>
          <w:b/>
          <w:i/>
        </w:rPr>
        <w:t xml:space="preserve">342-92 </w:t>
      </w:r>
      <w:r>
        <w:rPr>
          <w:i/>
        </w:rPr>
        <w:t>y</w:t>
      </w:r>
      <w:r>
        <w:rPr>
          <w:b/>
          <w:i/>
        </w:rPr>
        <w:t xml:space="preserve"> </w:t>
      </w:r>
      <w:r>
        <w:rPr>
          <w:i/>
        </w:rPr>
        <w:t xml:space="preserve">la </w:t>
      </w:r>
      <w:r w:rsidRPr="00CE61AE">
        <w:rPr>
          <w:b/>
          <w:i/>
        </w:rPr>
        <w:t>Lic</w:t>
      </w:r>
      <w:r>
        <w:rPr>
          <w:b/>
          <w:i/>
        </w:rPr>
        <w:t>da</w:t>
      </w:r>
      <w:r w:rsidRPr="00CE61AE">
        <w:rPr>
          <w:b/>
          <w:i/>
        </w:rPr>
        <w:t>. Graciela Herrera De la Rosa</w:t>
      </w:r>
      <w:r>
        <w:rPr>
          <w:i/>
        </w:rPr>
        <w:t xml:space="preserve">, </w:t>
      </w:r>
      <w:r w:rsidRPr="00CE61AE">
        <w:rPr>
          <w:b/>
          <w:i/>
        </w:rPr>
        <w:t>CPA, Exequátur</w:t>
      </w:r>
      <w:r>
        <w:rPr>
          <w:b/>
          <w:i/>
        </w:rPr>
        <w:t xml:space="preserve"> Número 384-10.</w:t>
      </w:r>
    </w:p>
    <w:sectPr w:rsidR="00900A9D" w:rsidRPr="004B3781" w:rsidSect="00AB72A3">
      <w:headerReference w:type="default" r:id="rId12"/>
      <w:footerReference w:type="default" r:id="rId13"/>
      <w:pgSz w:w="12240" w:h="15840" w:code="1"/>
      <w:pgMar w:top="1985" w:right="1701" w:bottom="156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D387E" w14:textId="77777777" w:rsidR="00F96F33" w:rsidRDefault="00F96F33" w:rsidP="00F75621">
      <w:r>
        <w:separator/>
      </w:r>
    </w:p>
  </w:endnote>
  <w:endnote w:type="continuationSeparator" w:id="0">
    <w:p w14:paraId="0D648E83" w14:textId="77777777" w:rsidR="00F96F33" w:rsidRDefault="00F96F33" w:rsidP="00F7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62C1" w14:textId="77777777" w:rsidR="007A10AF" w:rsidRPr="00566278" w:rsidRDefault="007A10AF" w:rsidP="0086420C">
    <w:pPr>
      <w:pStyle w:val="Piedepgina"/>
      <w:pBdr>
        <w:top w:val="thinThickSmallGap" w:sz="24" w:space="0" w:color="622423" w:themeColor="accent2" w:themeShade="7F"/>
      </w:pBdr>
      <w:rPr>
        <w:rFonts w:asciiTheme="majorHAnsi" w:eastAsiaTheme="majorEastAsia" w:hAnsiTheme="majorHAnsi" w:cstheme="majorBidi"/>
        <w:b/>
      </w:rPr>
    </w:pPr>
    <w:r w:rsidRPr="00566278">
      <w:rPr>
        <w:rFonts w:asciiTheme="majorHAnsi" w:eastAsiaTheme="majorEastAsia" w:hAnsiTheme="majorHAnsi" w:cstheme="majorBidi"/>
        <w:b/>
      </w:rPr>
      <w:t>NOTAS DE LOS ESTADOS FINANCIEROS</w:t>
    </w:r>
    <w:r w:rsidRPr="00566278">
      <w:rPr>
        <w:rFonts w:asciiTheme="majorHAnsi" w:eastAsiaTheme="majorEastAsia" w:hAnsiTheme="majorHAnsi" w:cstheme="majorBidi"/>
        <w:b/>
      </w:rPr>
      <w:ptab w:relativeTo="margin" w:alignment="right" w:leader="none"/>
    </w:r>
    <w:r>
      <w:rPr>
        <w:rFonts w:asciiTheme="majorHAnsi" w:eastAsiaTheme="majorEastAsia" w:hAnsiTheme="majorHAnsi" w:cstheme="majorBidi"/>
        <w:b/>
        <w:lang w:val="es-ES"/>
      </w:rPr>
      <w:t>P</w:t>
    </w:r>
    <w:r w:rsidRPr="00566278">
      <w:rPr>
        <w:rFonts w:asciiTheme="majorHAnsi" w:eastAsiaTheme="majorEastAsia" w:hAnsiTheme="majorHAnsi" w:cstheme="majorBidi"/>
        <w:b/>
        <w:lang w:val="es-ES"/>
      </w:rPr>
      <w:t xml:space="preserve">ágina </w:t>
    </w:r>
    <w:r w:rsidRPr="00566278">
      <w:rPr>
        <w:rFonts w:asciiTheme="minorHAnsi" w:eastAsiaTheme="minorEastAsia" w:hAnsiTheme="minorHAnsi" w:cstheme="minorBidi"/>
        <w:b/>
      </w:rPr>
      <w:fldChar w:fldCharType="begin"/>
    </w:r>
    <w:r w:rsidRPr="00566278">
      <w:rPr>
        <w:b/>
      </w:rPr>
      <w:instrText>PAGE   \* MERGEFORMAT</w:instrText>
    </w:r>
    <w:r w:rsidRPr="00566278">
      <w:rPr>
        <w:rFonts w:asciiTheme="minorHAnsi" w:eastAsiaTheme="minorEastAsia" w:hAnsiTheme="minorHAnsi" w:cstheme="minorBidi"/>
        <w:b/>
      </w:rPr>
      <w:fldChar w:fldCharType="separate"/>
    </w:r>
    <w:r w:rsidR="00BE68A9" w:rsidRPr="00BE68A9">
      <w:rPr>
        <w:rFonts w:asciiTheme="majorHAnsi" w:eastAsiaTheme="majorEastAsia" w:hAnsiTheme="majorHAnsi" w:cstheme="majorBidi"/>
        <w:b/>
        <w:noProof/>
        <w:lang w:val="es-ES"/>
      </w:rPr>
      <w:t>17</w:t>
    </w:r>
    <w:r w:rsidRPr="00566278">
      <w:rPr>
        <w:rFonts w:asciiTheme="majorHAnsi" w:eastAsiaTheme="majorEastAsia" w:hAnsiTheme="majorHAnsi" w:cstheme="majorBid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1E966" w14:textId="77777777" w:rsidR="00F96F33" w:rsidRDefault="00F96F33" w:rsidP="00F75621">
      <w:r>
        <w:separator/>
      </w:r>
    </w:p>
  </w:footnote>
  <w:footnote w:type="continuationSeparator" w:id="0">
    <w:p w14:paraId="7F9FF9C2" w14:textId="77777777" w:rsidR="00F96F33" w:rsidRDefault="00F96F33" w:rsidP="00F75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62C0" w14:textId="77777777" w:rsidR="007A10AF" w:rsidRPr="00754F97" w:rsidRDefault="007A10AF" w:rsidP="00AB72A3">
    <w:pPr>
      <w:pStyle w:val="Encabezado"/>
      <w:pBdr>
        <w:bottom w:val="thickThinSmallGap" w:sz="24" w:space="8" w:color="622423" w:themeColor="accent2" w:themeShade="7F"/>
      </w:pBdr>
      <w:tabs>
        <w:tab w:val="left" w:pos="3719"/>
        <w:tab w:val="center" w:pos="4419"/>
      </w:tabs>
      <w:jc w:val="right"/>
      <w:rPr>
        <w:rFonts w:asciiTheme="majorHAnsi" w:eastAsiaTheme="majorEastAsia" w:hAnsiTheme="majorHAnsi" w:cstheme="majorBidi"/>
        <w:sz w:val="32"/>
        <w:szCs w:val="32"/>
      </w:rPr>
    </w:pPr>
    <w:r>
      <w:rPr>
        <w:noProof/>
        <w:lang w:eastAsia="es-DO"/>
      </w:rPr>
      <w:drawing>
        <wp:anchor distT="0" distB="0" distL="114300" distR="114300" simplePos="0" relativeHeight="251658752" behindDoc="0" locked="0" layoutInCell="1" allowOverlap="1" wp14:anchorId="32E762C2" wp14:editId="32E762C3">
          <wp:simplePos x="0" y="0"/>
          <wp:positionH relativeFrom="column">
            <wp:posOffset>-50469</wp:posOffset>
          </wp:positionH>
          <wp:positionV relativeFrom="paragraph">
            <wp:posOffset>-337185</wp:posOffset>
          </wp:positionV>
          <wp:extent cx="1642745" cy="596265"/>
          <wp:effectExtent l="0" t="0" r="0" b="0"/>
          <wp:wrapNone/>
          <wp:docPr id="2"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42745" cy="5962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9D042BC"/>
    <w:lvl w:ilvl="0">
      <w:start w:val="1"/>
      <w:numFmt w:val="bullet"/>
      <w:pStyle w:val="Textoindependiente3"/>
      <w:lvlText w:val=""/>
      <w:lvlJc w:val="left"/>
      <w:pPr>
        <w:tabs>
          <w:tab w:val="num" w:pos="643"/>
        </w:tabs>
        <w:ind w:left="643" w:hanging="360"/>
      </w:pPr>
      <w:rPr>
        <w:rFonts w:ascii="Symbol" w:hAnsi="Symbol" w:hint="default"/>
      </w:rPr>
    </w:lvl>
  </w:abstractNum>
  <w:abstractNum w:abstractNumId="1" w15:restartNumberingAfterBreak="0">
    <w:nsid w:val="11522F69"/>
    <w:multiLevelType w:val="hybridMultilevel"/>
    <w:tmpl w:val="30CA23B0"/>
    <w:lvl w:ilvl="0" w:tplc="FAAE9156">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15:restartNumberingAfterBreak="0">
    <w:nsid w:val="22A30D24"/>
    <w:multiLevelType w:val="hybridMultilevel"/>
    <w:tmpl w:val="A7D2A744"/>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26FF4491"/>
    <w:multiLevelType w:val="hybridMultilevel"/>
    <w:tmpl w:val="E66A1B52"/>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42306980"/>
    <w:multiLevelType w:val="hybridMultilevel"/>
    <w:tmpl w:val="501257D4"/>
    <w:lvl w:ilvl="0" w:tplc="04090001">
      <w:start w:val="1"/>
      <w:numFmt w:val="bullet"/>
      <w:lvlText w:val=""/>
      <w:lvlJc w:val="left"/>
      <w:pPr>
        <w:tabs>
          <w:tab w:val="num" w:pos="2160"/>
        </w:tabs>
        <w:ind w:left="2160" w:hanging="360"/>
      </w:pPr>
      <w:rPr>
        <w:rFonts w:ascii="Symbol" w:hAnsi="Symbol" w:hint="default"/>
        <w:b/>
      </w:rPr>
    </w:lvl>
    <w:lvl w:ilvl="1" w:tplc="04090001">
      <w:start w:val="1"/>
      <w:numFmt w:val="bullet"/>
      <w:lvlText w:val=""/>
      <w:lvlJc w:val="left"/>
      <w:pPr>
        <w:tabs>
          <w:tab w:val="num" w:pos="2880"/>
        </w:tabs>
        <w:ind w:left="2880" w:hanging="360"/>
      </w:pPr>
      <w:rPr>
        <w:rFonts w:ascii="Symbol" w:hAnsi="Symbol" w:hint="default"/>
      </w:rPr>
    </w:lvl>
    <w:lvl w:ilvl="2" w:tplc="584829FA">
      <w:start w:val="1"/>
      <w:numFmt w:val="decimal"/>
      <w:lvlText w:val="(%3)"/>
      <w:lvlJc w:val="left"/>
      <w:pPr>
        <w:tabs>
          <w:tab w:val="num" w:pos="1830"/>
        </w:tabs>
        <w:ind w:left="1830" w:hanging="390"/>
      </w:pPr>
    </w:lvl>
    <w:lvl w:ilvl="3" w:tplc="D5C0C896">
      <w:start w:val="1"/>
      <w:numFmt w:val="lowerLetter"/>
      <w:lvlText w:val="%4)"/>
      <w:lvlJc w:val="left"/>
      <w:pPr>
        <w:tabs>
          <w:tab w:val="num" w:pos="4320"/>
        </w:tabs>
        <w:ind w:left="43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C3C2146"/>
    <w:multiLevelType w:val="hybridMultilevel"/>
    <w:tmpl w:val="1A46725A"/>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5CDC3D73"/>
    <w:multiLevelType w:val="hybridMultilevel"/>
    <w:tmpl w:val="63485B30"/>
    <w:lvl w:ilvl="0" w:tplc="1C0A0017">
      <w:start w:val="1"/>
      <w:numFmt w:val="lowerLetter"/>
      <w:lvlText w:val="%1)"/>
      <w:lvlJc w:val="left"/>
      <w:pPr>
        <w:ind w:left="360" w:hanging="360"/>
      </w:pPr>
    </w:lvl>
    <w:lvl w:ilvl="1" w:tplc="1C0A0019" w:tentative="1">
      <w:start w:val="1"/>
      <w:numFmt w:val="lowerLetter"/>
      <w:lvlText w:val="%2."/>
      <w:lvlJc w:val="left"/>
      <w:pPr>
        <w:ind w:left="1156" w:hanging="360"/>
      </w:pPr>
    </w:lvl>
    <w:lvl w:ilvl="2" w:tplc="1C0A001B" w:tentative="1">
      <w:start w:val="1"/>
      <w:numFmt w:val="lowerRoman"/>
      <w:lvlText w:val="%3."/>
      <w:lvlJc w:val="right"/>
      <w:pPr>
        <w:ind w:left="1876" w:hanging="180"/>
      </w:pPr>
    </w:lvl>
    <w:lvl w:ilvl="3" w:tplc="1C0A000F" w:tentative="1">
      <w:start w:val="1"/>
      <w:numFmt w:val="decimal"/>
      <w:lvlText w:val="%4."/>
      <w:lvlJc w:val="left"/>
      <w:pPr>
        <w:ind w:left="2596" w:hanging="360"/>
      </w:pPr>
    </w:lvl>
    <w:lvl w:ilvl="4" w:tplc="1C0A0019" w:tentative="1">
      <w:start w:val="1"/>
      <w:numFmt w:val="lowerLetter"/>
      <w:lvlText w:val="%5."/>
      <w:lvlJc w:val="left"/>
      <w:pPr>
        <w:ind w:left="3316" w:hanging="360"/>
      </w:pPr>
    </w:lvl>
    <w:lvl w:ilvl="5" w:tplc="1C0A001B" w:tentative="1">
      <w:start w:val="1"/>
      <w:numFmt w:val="lowerRoman"/>
      <w:lvlText w:val="%6."/>
      <w:lvlJc w:val="right"/>
      <w:pPr>
        <w:ind w:left="4036" w:hanging="180"/>
      </w:pPr>
    </w:lvl>
    <w:lvl w:ilvl="6" w:tplc="1C0A000F" w:tentative="1">
      <w:start w:val="1"/>
      <w:numFmt w:val="decimal"/>
      <w:lvlText w:val="%7."/>
      <w:lvlJc w:val="left"/>
      <w:pPr>
        <w:ind w:left="4756" w:hanging="360"/>
      </w:pPr>
    </w:lvl>
    <w:lvl w:ilvl="7" w:tplc="1C0A0019" w:tentative="1">
      <w:start w:val="1"/>
      <w:numFmt w:val="lowerLetter"/>
      <w:lvlText w:val="%8."/>
      <w:lvlJc w:val="left"/>
      <w:pPr>
        <w:ind w:left="5476" w:hanging="360"/>
      </w:pPr>
    </w:lvl>
    <w:lvl w:ilvl="8" w:tplc="1C0A001B" w:tentative="1">
      <w:start w:val="1"/>
      <w:numFmt w:val="lowerRoman"/>
      <w:lvlText w:val="%9."/>
      <w:lvlJc w:val="right"/>
      <w:pPr>
        <w:ind w:left="6196" w:hanging="180"/>
      </w:pPr>
    </w:lvl>
  </w:abstractNum>
  <w:abstractNum w:abstractNumId="7" w15:restartNumberingAfterBreak="0">
    <w:nsid w:val="77F9522F"/>
    <w:multiLevelType w:val="hybridMultilevel"/>
    <w:tmpl w:val="B24CB57E"/>
    <w:lvl w:ilvl="0" w:tplc="C0F63E26">
      <w:numFmt w:val="bullet"/>
      <w:lvlText w:val="-"/>
      <w:lvlJc w:val="left"/>
      <w:pPr>
        <w:ind w:left="720" w:hanging="360"/>
      </w:pPr>
      <w:rPr>
        <w:rFonts w:ascii="Times New Roman" w:eastAsia="Times New Roman" w:hAnsi="Times New Roman"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7CC866E6"/>
    <w:multiLevelType w:val="hybridMultilevel"/>
    <w:tmpl w:val="EFE60DF0"/>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16cid:durableId="2010207308">
    <w:abstractNumId w:val="0"/>
  </w:num>
  <w:num w:numId="2" w16cid:durableId="2120834335">
    <w:abstractNumId w:val="4"/>
  </w:num>
  <w:num w:numId="3" w16cid:durableId="109918369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2334758">
    <w:abstractNumId w:val="3"/>
  </w:num>
  <w:num w:numId="5" w16cid:durableId="442766446">
    <w:abstractNumId w:val="2"/>
  </w:num>
  <w:num w:numId="6" w16cid:durableId="221256175">
    <w:abstractNumId w:val="5"/>
  </w:num>
  <w:num w:numId="7" w16cid:durableId="1835343181">
    <w:abstractNumId w:val="1"/>
  </w:num>
  <w:num w:numId="8" w16cid:durableId="32771306">
    <w:abstractNumId w:val="7"/>
  </w:num>
  <w:num w:numId="9" w16cid:durableId="1411192209">
    <w:abstractNumId w:val="6"/>
  </w:num>
  <w:num w:numId="10" w16cid:durableId="18459733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34D"/>
    <w:rsid w:val="000002DC"/>
    <w:rsid w:val="00000C1D"/>
    <w:rsid w:val="00000C2C"/>
    <w:rsid w:val="00001929"/>
    <w:rsid w:val="0000274C"/>
    <w:rsid w:val="00004DD0"/>
    <w:rsid w:val="00005475"/>
    <w:rsid w:val="00005898"/>
    <w:rsid w:val="00005C9D"/>
    <w:rsid w:val="0000639C"/>
    <w:rsid w:val="00011093"/>
    <w:rsid w:val="0001109F"/>
    <w:rsid w:val="0001295B"/>
    <w:rsid w:val="00013771"/>
    <w:rsid w:val="000143B9"/>
    <w:rsid w:val="00015712"/>
    <w:rsid w:val="00016D92"/>
    <w:rsid w:val="00017991"/>
    <w:rsid w:val="000204A9"/>
    <w:rsid w:val="00020735"/>
    <w:rsid w:val="00021721"/>
    <w:rsid w:val="00021EBE"/>
    <w:rsid w:val="00021F7C"/>
    <w:rsid w:val="0002206F"/>
    <w:rsid w:val="00022C57"/>
    <w:rsid w:val="00023DED"/>
    <w:rsid w:val="00023F19"/>
    <w:rsid w:val="0002481A"/>
    <w:rsid w:val="0002492F"/>
    <w:rsid w:val="00024E75"/>
    <w:rsid w:val="00025343"/>
    <w:rsid w:val="00026338"/>
    <w:rsid w:val="0002698B"/>
    <w:rsid w:val="00026BB5"/>
    <w:rsid w:val="00026C89"/>
    <w:rsid w:val="0002707A"/>
    <w:rsid w:val="00027CCA"/>
    <w:rsid w:val="00027FD3"/>
    <w:rsid w:val="00030584"/>
    <w:rsid w:val="000322A8"/>
    <w:rsid w:val="0003266C"/>
    <w:rsid w:val="00033785"/>
    <w:rsid w:val="00035549"/>
    <w:rsid w:val="0003594E"/>
    <w:rsid w:val="000374FB"/>
    <w:rsid w:val="0003786B"/>
    <w:rsid w:val="00037BF3"/>
    <w:rsid w:val="00037E27"/>
    <w:rsid w:val="0004070C"/>
    <w:rsid w:val="00040977"/>
    <w:rsid w:val="00041164"/>
    <w:rsid w:val="0004347F"/>
    <w:rsid w:val="0004375D"/>
    <w:rsid w:val="00043D1F"/>
    <w:rsid w:val="000457C5"/>
    <w:rsid w:val="000458DD"/>
    <w:rsid w:val="000468DD"/>
    <w:rsid w:val="0004696D"/>
    <w:rsid w:val="00047081"/>
    <w:rsid w:val="000476B1"/>
    <w:rsid w:val="0004792A"/>
    <w:rsid w:val="00047996"/>
    <w:rsid w:val="00050CAD"/>
    <w:rsid w:val="00051C3A"/>
    <w:rsid w:val="00051E25"/>
    <w:rsid w:val="0005378E"/>
    <w:rsid w:val="00054D7C"/>
    <w:rsid w:val="00054EBF"/>
    <w:rsid w:val="00055938"/>
    <w:rsid w:val="00055B54"/>
    <w:rsid w:val="000562B7"/>
    <w:rsid w:val="0006019A"/>
    <w:rsid w:val="000606BC"/>
    <w:rsid w:val="00060956"/>
    <w:rsid w:val="00060D42"/>
    <w:rsid w:val="00060EAB"/>
    <w:rsid w:val="00061B0C"/>
    <w:rsid w:val="00062AC5"/>
    <w:rsid w:val="00062BA6"/>
    <w:rsid w:val="0006303B"/>
    <w:rsid w:val="00063375"/>
    <w:rsid w:val="00063B21"/>
    <w:rsid w:val="00063F47"/>
    <w:rsid w:val="000658DF"/>
    <w:rsid w:val="00066774"/>
    <w:rsid w:val="00066C19"/>
    <w:rsid w:val="00067205"/>
    <w:rsid w:val="000678B1"/>
    <w:rsid w:val="00071A11"/>
    <w:rsid w:val="0007219D"/>
    <w:rsid w:val="000724A4"/>
    <w:rsid w:val="00072D19"/>
    <w:rsid w:val="00072F46"/>
    <w:rsid w:val="00074617"/>
    <w:rsid w:val="00076C90"/>
    <w:rsid w:val="00076E0C"/>
    <w:rsid w:val="00077441"/>
    <w:rsid w:val="00077A3B"/>
    <w:rsid w:val="00080023"/>
    <w:rsid w:val="00081800"/>
    <w:rsid w:val="00081BB3"/>
    <w:rsid w:val="00082DFA"/>
    <w:rsid w:val="0008388D"/>
    <w:rsid w:val="0008399F"/>
    <w:rsid w:val="00083DDB"/>
    <w:rsid w:val="00084BD2"/>
    <w:rsid w:val="00084E70"/>
    <w:rsid w:val="00084F2F"/>
    <w:rsid w:val="00087089"/>
    <w:rsid w:val="000870CE"/>
    <w:rsid w:val="0008714B"/>
    <w:rsid w:val="00087914"/>
    <w:rsid w:val="00087CEB"/>
    <w:rsid w:val="00090797"/>
    <w:rsid w:val="00091452"/>
    <w:rsid w:val="0009191B"/>
    <w:rsid w:val="00092A14"/>
    <w:rsid w:val="00093B2B"/>
    <w:rsid w:val="00094325"/>
    <w:rsid w:val="000961EB"/>
    <w:rsid w:val="0009689D"/>
    <w:rsid w:val="000A09E0"/>
    <w:rsid w:val="000A10FE"/>
    <w:rsid w:val="000A1D09"/>
    <w:rsid w:val="000A1DFF"/>
    <w:rsid w:val="000A21D2"/>
    <w:rsid w:val="000A29E9"/>
    <w:rsid w:val="000A3CBD"/>
    <w:rsid w:val="000A41FF"/>
    <w:rsid w:val="000A5B00"/>
    <w:rsid w:val="000A5C2B"/>
    <w:rsid w:val="000A5E7B"/>
    <w:rsid w:val="000A669E"/>
    <w:rsid w:val="000A6C76"/>
    <w:rsid w:val="000A70E1"/>
    <w:rsid w:val="000A7227"/>
    <w:rsid w:val="000A7565"/>
    <w:rsid w:val="000A7D9C"/>
    <w:rsid w:val="000B06AD"/>
    <w:rsid w:val="000B09BE"/>
    <w:rsid w:val="000B0D7F"/>
    <w:rsid w:val="000B1BFD"/>
    <w:rsid w:val="000B2795"/>
    <w:rsid w:val="000B2A23"/>
    <w:rsid w:val="000B3A4A"/>
    <w:rsid w:val="000B422F"/>
    <w:rsid w:val="000B468F"/>
    <w:rsid w:val="000B5208"/>
    <w:rsid w:val="000B5F74"/>
    <w:rsid w:val="000B6AA7"/>
    <w:rsid w:val="000C037E"/>
    <w:rsid w:val="000C0FC7"/>
    <w:rsid w:val="000C1E73"/>
    <w:rsid w:val="000C1F11"/>
    <w:rsid w:val="000C3E47"/>
    <w:rsid w:val="000C5F13"/>
    <w:rsid w:val="000C6091"/>
    <w:rsid w:val="000C61AA"/>
    <w:rsid w:val="000C6D5A"/>
    <w:rsid w:val="000C7B54"/>
    <w:rsid w:val="000C7D00"/>
    <w:rsid w:val="000C7FDC"/>
    <w:rsid w:val="000D039A"/>
    <w:rsid w:val="000D18D3"/>
    <w:rsid w:val="000D2DBA"/>
    <w:rsid w:val="000D4B6A"/>
    <w:rsid w:val="000D4D6D"/>
    <w:rsid w:val="000D5037"/>
    <w:rsid w:val="000D5A3D"/>
    <w:rsid w:val="000D729E"/>
    <w:rsid w:val="000D7CCA"/>
    <w:rsid w:val="000E005B"/>
    <w:rsid w:val="000E1308"/>
    <w:rsid w:val="000E1F37"/>
    <w:rsid w:val="000E20F8"/>
    <w:rsid w:val="000E3E6E"/>
    <w:rsid w:val="000E4D8C"/>
    <w:rsid w:val="000E6A5E"/>
    <w:rsid w:val="000E6C9F"/>
    <w:rsid w:val="000E6FB5"/>
    <w:rsid w:val="000E7883"/>
    <w:rsid w:val="000E79C1"/>
    <w:rsid w:val="000F001C"/>
    <w:rsid w:val="000F14C7"/>
    <w:rsid w:val="000F1DFD"/>
    <w:rsid w:val="000F1EDE"/>
    <w:rsid w:val="000F1EFD"/>
    <w:rsid w:val="000F44FF"/>
    <w:rsid w:val="000F4FAC"/>
    <w:rsid w:val="000F5CD2"/>
    <w:rsid w:val="000F6BFB"/>
    <w:rsid w:val="000F7231"/>
    <w:rsid w:val="000F7EBB"/>
    <w:rsid w:val="00100466"/>
    <w:rsid w:val="001020C5"/>
    <w:rsid w:val="00102204"/>
    <w:rsid w:val="0010297B"/>
    <w:rsid w:val="001033B1"/>
    <w:rsid w:val="00104EDF"/>
    <w:rsid w:val="00106060"/>
    <w:rsid w:val="00106A4B"/>
    <w:rsid w:val="00111DF4"/>
    <w:rsid w:val="001133AB"/>
    <w:rsid w:val="00113585"/>
    <w:rsid w:val="001139E7"/>
    <w:rsid w:val="001141D0"/>
    <w:rsid w:val="001146B2"/>
    <w:rsid w:val="00114989"/>
    <w:rsid w:val="00114E89"/>
    <w:rsid w:val="00115216"/>
    <w:rsid w:val="00115AF8"/>
    <w:rsid w:val="00115FB7"/>
    <w:rsid w:val="001200B2"/>
    <w:rsid w:val="001202DA"/>
    <w:rsid w:val="00120370"/>
    <w:rsid w:val="00120817"/>
    <w:rsid w:val="00120947"/>
    <w:rsid w:val="0012245D"/>
    <w:rsid w:val="00122630"/>
    <w:rsid w:val="00122B26"/>
    <w:rsid w:val="0012309F"/>
    <w:rsid w:val="001246F8"/>
    <w:rsid w:val="00124C8C"/>
    <w:rsid w:val="00125191"/>
    <w:rsid w:val="0012646A"/>
    <w:rsid w:val="00127B44"/>
    <w:rsid w:val="00130049"/>
    <w:rsid w:val="00131600"/>
    <w:rsid w:val="001316E5"/>
    <w:rsid w:val="00132189"/>
    <w:rsid w:val="001329AA"/>
    <w:rsid w:val="00132AE0"/>
    <w:rsid w:val="00133639"/>
    <w:rsid w:val="00133F2E"/>
    <w:rsid w:val="001340BA"/>
    <w:rsid w:val="001360F5"/>
    <w:rsid w:val="001405CE"/>
    <w:rsid w:val="001407F3"/>
    <w:rsid w:val="001423F5"/>
    <w:rsid w:val="001424C4"/>
    <w:rsid w:val="00142B9B"/>
    <w:rsid w:val="00143312"/>
    <w:rsid w:val="001435E7"/>
    <w:rsid w:val="00144A7D"/>
    <w:rsid w:val="00144D4A"/>
    <w:rsid w:val="0014542D"/>
    <w:rsid w:val="00145706"/>
    <w:rsid w:val="00145C5B"/>
    <w:rsid w:val="00145E6E"/>
    <w:rsid w:val="001475FB"/>
    <w:rsid w:val="001476FE"/>
    <w:rsid w:val="00147B0D"/>
    <w:rsid w:val="00152865"/>
    <w:rsid w:val="001535D9"/>
    <w:rsid w:val="001537FF"/>
    <w:rsid w:val="00154026"/>
    <w:rsid w:val="001543C1"/>
    <w:rsid w:val="0015443F"/>
    <w:rsid w:val="0015563D"/>
    <w:rsid w:val="00156530"/>
    <w:rsid w:val="001573AC"/>
    <w:rsid w:val="001574D9"/>
    <w:rsid w:val="00163ACC"/>
    <w:rsid w:val="00164113"/>
    <w:rsid w:val="0016420F"/>
    <w:rsid w:val="00165C83"/>
    <w:rsid w:val="0016798E"/>
    <w:rsid w:val="00167F3E"/>
    <w:rsid w:val="00170A21"/>
    <w:rsid w:val="00170CF1"/>
    <w:rsid w:val="00170D81"/>
    <w:rsid w:val="00171186"/>
    <w:rsid w:val="00171211"/>
    <w:rsid w:val="001716B0"/>
    <w:rsid w:val="00172FA7"/>
    <w:rsid w:val="0017336E"/>
    <w:rsid w:val="001738A9"/>
    <w:rsid w:val="00173D67"/>
    <w:rsid w:val="00173F44"/>
    <w:rsid w:val="00174197"/>
    <w:rsid w:val="00176B5C"/>
    <w:rsid w:val="00176D9D"/>
    <w:rsid w:val="00176FB5"/>
    <w:rsid w:val="0017755F"/>
    <w:rsid w:val="0018060F"/>
    <w:rsid w:val="00181366"/>
    <w:rsid w:val="00181737"/>
    <w:rsid w:val="00181A72"/>
    <w:rsid w:val="00183378"/>
    <w:rsid w:val="00183A18"/>
    <w:rsid w:val="00184B23"/>
    <w:rsid w:val="00184BEE"/>
    <w:rsid w:val="00184EBE"/>
    <w:rsid w:val="00186C6B"/>
    <w:rsid w:val="00187D4F"/>
    <w:rsid w:val="001908D5"/>
    <w:rsid w:val="0019160D"/>
    <w:rsid w:val="00191B1A"/>
    <w:rsid w:val="00192711"/>
    <w:rsid w:val="00192F1E"/>
    <w:rsid w:val="0019363F"/>
    <w:rsid w:val="001938A6"/>
    <w:rsid w:val="00194225"/>
    <w:rsid w:val="001947E3"/>
    <w:rsid w:val="00194E04"/>
    <w:rsid w:val="00195034"/>
    <w:rsid w:val="00195AD8"/>
    <w:rsid w:val="00196A90"/>
    <w:rsid w:val="0019727F"/>
    <w:rsid w:val="00197641"/>
    <w:rsid w:val="001A0848"/>
    <w:rsid w:val="001A14CC"/>
    <w:rsid w:val="001A162D"/>
    <w:rsid w:val="001A1E75"/>
    <w:rsid w:val="001A26D5"/>
    <w:rsid w:val="001A3D8A"/>
    <w:rsid w:val="001A42FC"/>
    <w:rsid w:val="001A48D1"/>
    <w:rsid w:val="001A4D9D"/>
    <w:rsid w:val="001A4F01"/>
    <w:rsid w:val="001A5F02"/>
    <w:rsid w:val="001A65CF"/>
    <w:rsid w:val="001A7303"/>
    <w:rsid w:val="001B0A6F"/>
    <w:rsid w:val="001B0DB5"/>
    <w:rsid w:val="001B1A3F"/>
    <w:rsid w:val="001B27CA"/>
    <w:rsid w:val="001B413E"/>
    <w:rsid w:val="001B47DE"/>
    <w:rsid w:val="001B5360"/>
    <w:rsid w:val="001B65C4"/>
    <w:rsid w:val="001B6D82"/>
    <w:rsid w:val="001C21C2"/>
    <w:rsid w:val="001C2416"/>
    <w:rsid w:val="001C2B49"/>
    <w:rsid w:val="001C382C"/>
    <w:rsid w:val="001C4669"/>
    <w:rsid w:val="001C662E"/>
    <w:rsid w:val="001C7C55"/>
    <w:rsid w:val="001D0384"/>
    <w:rsid w:val="001D0B6F"/>
    <w:rsid w:val="001D0D72"/>
    <w:rsid w:val="001D3255"/>
    <w:rsid w:val="001D3A65"/>
    <w:rsid w:val="001D4B14"/>
    <w:rsid w:val="001D4DDC"/>
    <w:rsid w:val="001D5EA1"/>
    <w:rsid w:val="001D6351"/>
    <w:rsid w:val="001D6D71"/>
    <w:rsid w:val="001D7766"/>
    <w:rsid w:val="001E013D"/>
    <w:rsid w:val="001E04E7"/>
    <w:rsid w:val="001E0704"/>
    <w:rsid w:val="001E104D"/>
    <w:rsid w:val="001E2818"/>
    <w:rsid w:val="001E2CC8"/>
    <w:rsid w:val="001E4C41"/>
    <w:rsid w:val="001E505E"/>
    <w:rsid w:val="001E5D6D"/>
    <w:rsid w:val="001E607D"/>
    <w:rsid w:val="001E6BCA"/>
    <w:rsid w:val="001E7380"/>
    <w:rsid w:val="001F00C5"/>
    <w:rsid w:val="001F02AC"/>
    <w:rsid w:val="001F0671"/>
    <w:rsid w:val="001F0DA0"/>
    <w:rsid w:val="001F1CC6"/>
    <w:rsid w:val="001F3755"/>
    <w:rsid w:val="001F3BD6"/>
    <w:rsid w:val="001F482E"/>
    <w:rsid w:val="001F4887"/>
    <w:rsid w:val="001F7352"/>
    <w:rsid w:val="001F7640"/>
    <w:rsid w:val="001F7844"/>
    <w:rsid w:val="001F7AA3"/>
    <w:rsid w:val="0020015E"/>
    <w:rsid w:val="002010FA"/>
    <w:rsid w:val="0020235D"/>
    <w:rsid w:val="00203B7D"/>
    <w:rsid w:val="00204187"/>
    <w:rsid w:val="00204CFB"/>
    <w:rsid w:val="00206056"/>
    <w:rsid w:val="002071B3"/>
    <w:rsid w:val="00210846"/>
    <w:rsid w:val="00214540"/>
    <w:rsid w:val="00214EFB"/>
    <w:rsid w:val="00215C41"/>
    <w:rsid w:val="0021696E"/>
    <w:rsid w:val="00216F03"/>
    <w:rsid w:val="00217553"/>
    <w:rsid w:val="002175D0"/>
    <w:rsid w:val="00217733"/>
    <w:rsid w:val="00217AF7"/>
    <w:rsid w:val="00220CB9"/>
    <w:rsid w:val="00221BA6"/>
    <w:rsid w:val="00222374"/>
    <w:rsid w:val="00222C9D"/>
    <w:rsid w:val="00222F09"/>
    <w:rsid w:val="00223821"/>
    <w:rsid w:val="0022470B"/>
    <w:rsid w:val="00224A83"/>
    <w:rsid w:val="00227C5C"/>
    <w:rsid w:val="00227FF9"/>
    <w:rsid w:val="002311CA"/>
    <w:rsid w:val="00231ABF"/>
    <w:rsid w:val="00231E2D"/>
    <w:rsid w:val="00232B7D"/>
    <w:rsid w:val="00234B27"/>
    <w:rsid w:val="00234CF1"/>
    <w:rsid w:val="00234D13"/>
    <w:rsid w:val="0023697E"/>
    <w:rsid w:val="00236FA7"/>
    <w:rsid w:val="00237E98"/>
    <w:rsid w:val="0024006D"/>
    <w:rsid w:val="00240D35"/>
    <w:rsid w:val="00240F89"/>
    <w:rsid w:val="00241242"/>
    <w:rsid w:val="00241486"/>
    <w:rsid w:val="0024203D"/>
    <w:rsid w:val="0024279D"/>
    <w:rsid w:val="00242EB0"/>
    <w:rsid w:val="00243098"/>
    <w:rsid w:val="0024355C"/>
    <w:rsid w:val="00244B64"/>
    <w:rsid w:val="002461BB"/>
    <w:rsid w:val="002463D8"/>
    <w:rsid w:val="00247030"/>
    <w:rsid w:val="002472B7"/>
    <w:rsid w:val="00250BE8"/>
    <w:rsid w:val="00251381"/>
    <w:rsid w:val="0025196A"/>
    <w:rsid w:val="00255CB8"/>
    <w:rsid w:val="0025631C"/>
    <w:rsid w:val="00257AE5"/>
    <w:rsid w:val="00260040"/>
    <w:rsid w:val="002609AC"/>
    <w:rsid w:val="0026118B"/>
    <w:rsid w:val="00262373"/>
    <w:rsid w:val="00262797"/>
    <w:rsid w:val="00262F39"/>
    <w:rsid w:val="00263455"/>
    <w:rsid w:val="00263E38"/>
    <w:rsid w:val="002642DB"/>
    <w:rsid w:val="00267BD0"/>
    <w:rsid w:val="00270A94"/>
    <w:rsid w:val="00270D36"/>
    <w:rsid w:val="00273D5C"/>
    <w:rsid w:val="0027483A"/>
    <w:rsid w:val="00274DB4"/>
    <w:rsid w:val="00274F59"/>
    <w:rsid w:val="0027735C"/>
    <w:rsid w:val="002779DE"/>
    <w:rsid w:val="00277BAB"/>
    <w:rsid w:val="00281A6D"/>
    <w:rsid w:val="00282746"/>
    <w:rsid w:val="0028300A"/>
    <w:rsid w:val="00283BAF"/>
    <w:rsid w:val="00283FF5"/>
    <w:rsid w:val="00285BDB"/>
    <w:rsid w:val="00287365"/>
    <w:rsid w:val="00287DAA"/>
    <w:rsid w:val="002905DB"/>
    <w:rsid w:val="00290C2E"/>
    <w:rsid w:val="00291A9B"/>
    <w:rsid w:val="00291CF6"/>
    <w:rsid w:val="00292A07"/>
    <w:rsid w:val="00292A8A"/>
    <w:rsid w:val="00295039"/>
    <w:rsid w:val="002950DF"/>
    <w:rsid w:val="0029555A"/>
    <w:rsid w:val="00295633"/>
    <w:rsid w:val="00295A4D"/>
    <w:rsid w:val="00295C7F"/>
    <w:rsid w:val="00296490"/>
    <w:rsid w:val="00297C8F"/>
    <w:rsid w:val="002A1BF6"/>
    <w:rsid w:val="002A1F01"/>
    <w:rsid w:val="002A26CA"/>
    <w:rsid w:val="002A30F6"/>
    <w:rsid w:val="002A43CE"/>
    <w:rsid w:val="002A43F7"/>
    <w:rsid w:val="002A4589"/>
    <w:rsid w:val="002A4D0E"/>
    <w:rsid w:val="002A568F"/>
    <w:rsid w:val="002A59EA"/>
    <w:rsid w:val="002A5CE7"/>
    <w:rsid w:val="002A66BF"/>
    <w:rsid w:val="002B0442"/>
    <w:rsid w:val="002B06D9"/>
    <w:rsid w:val="002B07D8"/>
    <w:rsid w:val="002B0864"/>
    <w:rsid w:val="002B0DBC"/>
    <w:rsid w:val="002B1806"/>
    <w:rsid w:val="002B27C7"/>
    <w:rsid w:val="002B2CAF"/>
    <w:rsid w:val="002B2EC5"/>
    <w:rsid w:val="002B43E6"/>
    <w:rsid w:val="002B48D6"/>
    <w:rsid w:val="002B4BF2"/>
    <w:rsid w:val="002B6E75"/>
    <w:rsid w:val="002B76C5"/>
    <w:rsid w:val="002C0FDD"/>
    <w:rsid w:val="002C1465"/>
    <w:rsid w:val="002C1715"/>
    <w:rsid w:val="002C1787"/>
    <w:rsid w:val="002C1884"/>
    <w:rsid w:val="002C269D"/>
    <w:rsid w:val="002C2BBA"/>
    <w:rsid w:val="002C2E0C"/>
    <w:rsid w:val="002C4701"/>
    <w:rsid w:val="002C4C98"/>
    <w:rsid w:val="002C5923"/>
    <w:rsid w:val="002C5D39"/>
    <w:rsid w:val="002C65AF"/>
    <w:rsid w:val="002C6FD0"/>
    <w:rsid w:val="002C766C"/>
    <w:rsid w:val="002C7F76"/>
    <w:rsid w:val="002D0199"/>
    <w:rsid w:val="002D079D"/>
    <w:rsid w:val="002D21CE"/>
    <w:rsid w:val="002D38BC"/>
    <w:rsid w:val="002D3A55"/>
    <w:rsid w:val="002D3A88"/>
    <w:rsid w:val="002D40B6"/>
    <w:rsid w:val="002D6519"/>
    <w:rsid w:val="002D68B4"/>
    <w:rsid w:val="002D7800"/>
    <w:rsid w:val="002D7B14"/>
    <w:rsid w:val="002D7DCD"/>
    <w:rsid w:val="002E09B2"/>
    <w:rsid w:val="002E0FF9"/>
    <w:rsid w:val="002E256B"/>
    <w:rsid w:val="002E3607"/>
    <w:rsid w:val="002E3B27"/>
    <w:rsid w:val="002E3D0E"/>
    <w:rsid w:val="002E4F77"/>
    <w:rsid w:val="002E6615"/>
    <w:rsid w:val="002F10E3"/>
    <w:rsid w:val="002F1BB4"/>
    <w:rsid w:val="002F26BA"/>
    <w:rsid w:val="002F3B82"/>
    <w:rsid w:val="002F3F0A"/>
    <w:rsid w:val="002F42FC"/>
    <w:rsid w:val="002F4325"/>
    <w:rsid w:val="002F5E13"/>
    <w:rsid w:val="002F654B"/>
    <w:rsid w:val="002F69D8"/>
    <w:rsid w:val="002F73ED"/>
    <w:rsid w:val="00302BDA"/>
    <w:rsid w:val="0030332E"/>
    <w:rsid w:val="00303EA2"/>
    <w:rsid w:val="00305DDA"/>
    <w:rsid w:val="00306983"/>
    <w:rsid w:val="00306A4B"/>
    <w:rsid w:val="00307138"/>
    <w:rsid w:val="00307BEE"/>
    <w:rsid w:val="003113B3"/>
    <w:rsid w:val="00313509"/>
    <w:rsid w:val="0031442E"/>
    <w:rsid w:val="0031471E"/>
    <w:rsid w:val="00315A31"/>
    <w:rsid w:val="00316A43"/>
    <w:rsid w:val="00320108"/>
    <w:rsid w:val="0032152D"/>
    <w:rsid w:val="00321550"/>
    <w:rsid w:val="00321D9E"/>
    <w:rsid w:val="003232C6"/>
    <w:rsid w:val="003242BC"/>
    <w:rsid w:val="00325FAA"/>
    <w:rsid w:val="003265A1"/>
    <w:rsid w:val="003270E3"/>
    <w:rsid w:val="00327DB1"/>
    <w:rsid w:val="00327F21"/>
    <w:rsid w:val="00330909"/>
    <w:rsid w:val="003310C9"/>
    <w:rsid w:val="00332FA9"/>
    <w:rsid w:val="00333B9F"/>
    <w:rsid w:val="00335832"/>
    <w:rsid w:val="0033690F"/>
    <w:rsid w:val="00336924"/>
    <w:rsid w:val="003371E7"/>
    <w:rsid w:val="00337F00"/>
    <w:rsid w:val="00341C89"/>
    <w:rsid w:val="00342AD1"/>
    <w:rsid w:val="003433F0"/>
    <w:rsid w:val="00343AC4"/>
    <w:rsid w:val="0034472E"/>
    <w:rsid w:val="0034634A"/>
    <w:rsid w:val="00346E5F"/>
    <w:rsid w:val="00346E7F"/>
    <w:rsid w:val="00350306"/>
    <w:rsid w:val="003507C6"/>
    <w:rsid w:val="0035128B"/>
    <w:rsid w:val="00351753"/>
    <w:rsid w:val="00351E19"/>
    <w:rsid w:val="0035211E"/>
    <w:rsid w:val="0035370A"/>
    <w:rsid w:val="0035394C"/>
    <w:rsid w:val="00355B8C"/>
    <w:rsid w:val="00357A5B"/>
    <w:rsid w:val="00361F3C"/>
    <w:rsid w:val="00361F5D"/>
    <w:rsid w:val="00364371"/>
    <w:rsid w:val="0036562C"/>
    <w:rsid w:val="003657A8"/>
    <w:rsid w:val="00365C86"/>
    <w:rsid w:val="0036737C"/>
    <w:rsid w:val="00370EC8"/>
    <w:rsid w:val="00370F86"/>
    <w:rsid w:val="0037181E"/>
    <w:rsid w:val="003723C0"/>
    <w:rsid w:val="00372EBE"/>
    <w:rsid w:val="00374016"/>
    <w:rsid w:val="00374906"/>
    <w:rsid w:val="00374FF4"/>
    <w:rsid w:val="0037564B"/>
    <w:rsid w:val="003766A0"/>
    <w:rsid w:val="003801C1"/>
    <w:rsid w:val="00381A70"/>
    <w:rsid w:val="00381C20"/>
    <w:rsid w:val="00381DD0"/>
    <w:rsid w:val="003822BF"/>
    <w:rsid w:val="003827BD"/>
    <w:rsid w:val="00384600"/>
    <w:rsid w:val="003874CA"/>
    <w:rsid w:val="0038789A"/>
    <w:rsid w:val="00387A4F"/>
    <w:rsid w:val="00387B67"/>
    <w:rsid w:val="003902D5"/>
    <w:rsid w:val="00390D7B"/>
    <w:rsid w:val="00391595"/>
    <w:rsid w:val="00392151"/>
    <w:rsid w:val="003927D6"/>
    <w:rsid w:val="00393C5E"/>
    <w:rsid w:val="00394825"/>
    <w:rsid w:val="003948C6"/>
    <w:rsid w:val="0039491B"/>
    <w:rsid w:val="00394963"/>
    <w:rsid w:val="0039620B"/>
    <w:rsid w:val="003962DE"/>
    <w:rsid w:val="003A17B1"/>
    <w:rsid w:val="003A3EF9"/>
    <w:rsid w:val="003A42FA"/>
    <w:rsid w:val="003A4D7C"/>
    <w:rsid w:val="003A598F"/>
    <w:rsid w:val="003A6C1D"/>
    <w:rsid w:val="003A78B8"/>
    <w:rsid w:val="003B02F4"/>
    <w:rsid w:val="003B0548"/>
    <w:rsid w:val="003B11B2"/>
    <w:rsid w:val="003B1A7C"/>
    <w:rsid w:val="003B3BF0"/>
    <w:rsid w:val="003B3D36"/>
    <w:rsid w:val="003B5387"/>
    <w:rsid w:val="003B5E94"/>
    <w:rsid w:val="003B64D5"/>
    <w:rsid w:val="003B6791"/>
    <w:rsid w:val="003B6825"/>
    <w:rsid w:val="003B6BAA"/>
    <w:rsid w:val="003B6F50"/>
    <w:rsid w:val="003B7F78"/>
    <w:rsid w:val="003C0241"/>
    <w:rsid w:val="003C0836"/>
    <w:rsid w:val="003C0BAF"/>
    <w:rsid w:val="003C1055"/>
    <w:rsid w:val="003C1076"/>
    <w:rsid w:val="003C1A19"/>
    <w:rsid w:val="003C1F30"/>
    <w:rsid w:val="003C2E0B"/>
    <w:rsid w:val="003C5873"/>
    <w:rsid w:val="003C5D78"/>
    <w:rsid w:val="003C603A"/>
    <w:rsid w:val="003C6226"/>
    <w:rsid w:val="003C62C2"/>
    <w:rsid w:val="003C62FA"/>
    <w:rsid w:val="003C72D3"/>
    <w:rsid w:val="003D1DB2"/>
    <w:rsid w:val="003D1E3E"/>
    <w:rsid w:val="003D2126"/>
    <w:rsid w:val="003D305B"/>
    <w:rsid w:val="003D389E"/>
    <w:rsid w:val="003D3C75"/>
    <w:rsid w:val="003D457D"/>
    <w:rsid w:val="003D69D3"/>
    <w:rsid w:val="003D7290"/>
    <w:rsid w:val="003D77E8"/>
    <w:rsid w:val="003E02C3"/>
    <w:rsid w:val="003E0715"/>
    <w:rsid w:val="003E16F3"/>
    <w:rsid w:val="003E20E0"/>
    <w:rsid w:val="003E2EC4"/>
    <w:rsid w:val="003E43A8"/>
    <w:rsid w:val="003E4D64"/>
    <w:rsid w:val="003E5597"/>
    <w:rsid w:val="003E5F9D"/>
    <w:rsid w:val="003E6086"/>
    <w:rsid w:val="003E63B8"/>
    <w:rsid w:val="003E6D27"/>
    <w:rsid w:val="003F2144"/>
    <w:rsid w:val="003F2C17"/>
    <w:rsid w:val="003F364F"/>
    <w:rsid w:val="003F48D4"/>
    <w:rsid w:val="003F5282"/>
    <w:rsid w:val="003F6366"/>
    <w:rsid w:val="003F708C"/>
    <w:rsid w:val="0040130E"/>
    <w:rsid w:val="00401522"/>
    <w:rsid w:val="004016D5"/>
    <w:rsid w:val="00401EF0"/>
    <w:rsid w:val="00401F56"/>
    <w:rsid w:val="004024ED"/>
    <w:rsid w:val="00402AF3"/>
    <w:rsid w:val="004032CB"/>
    <w:rsid w:val="0040344C"/>
    <w:rsid w:val="00404055"/>
    <w:rsid w:val="0040589A"/>
    <w:rsid w:val="00406053"/>
    <w:rsid w:val="004074BB"/>
    <w:rsid w:val="00410275"/>
    <w:rsid w:val="0041075E"/>
    <w:rsid w:val="00411C71"/>
    <w:rsid w:val="0041355E"/>
    <w:rsid w:val="00414440"/>
    <w:rsid w:val="004159AC"/>
    <w:rsid w:val="0041680C"/>
    <w:rsid w:val="00417CBD"/>
    <w:rsid w:val="00420982"/>
    <w:rsid w:val="00421124"/>
    <w:rsid w:val="00422051"/>
    <w:rsid w:val="0042333D"/>
    <w:rsid w:val="00423906"/>
    <w:rsid w:val="00423955"/>
    <w:rsid w:val="00424226"/>
    <w:rsid w:val="00424526"/>
    <w:rsid w:val="0042454D"/>
    <w:rsid w:val="00425728"/>
    <w:rsid w:val="004262D1"/>
    <w:rsid w:val="00427B03"/>
    <w:rsid w:val="00430577"/>
    <w:rsid w:val="004317B7"/>
    <w:rsid w:val="00432A38"/>
    <w:rsid w:val="00433638"/>
    <w:rsid w:val="00433DBD"/>
    <w:rsid w:val="0043477E"/>
    <w:rsid w:val="00434E9C"/>
    <w:rsid w:val="004352ED"/>
    <w:rsid w:val="00435E29"/>
    <w:rsid w:val="00436C1D"/>
    <w:rsid w:val="00437B81"/>
    <w:rsid w:val="00440210"/>
    <w:rsid w:val="004405F1"/>
    <w:rsid w:val="00442B5B"/>
    <w:rsid w:val="00443C47"/>
    <w:rsid w:val="00443F34"/>
    <w:rsid w:val="00444C29"/>
    <w:rsid w:val="004457C0"/>
    <w:rsid w:val="00447483"/>
    <w:rsid w:val="00447D7B"/>
    <w:rsid w:val="00450275"/>
    <w:rsid w:val="004529E3"/>
    <w:rsid w:val="00452B7B"/>
    <w:rsid w:val="00452E64"/>
    <w:rsid w:val="00453150"/>
    <w:rsid w:val="004550F9"/>
    <w:rsid w:val="0045596F"/>
    <w:rsid w:val="00456819"/>
    <w:rsid w:val="00456EDB"/>
    <w:rsid w:val="00457023"/>
    <w:rsid w:val="00461950"/>
    <w:rsid w:val="00461FA6"/>
    <w:rsid w:val="00462162"/>
    <w:rsid w:val="00462560"/>
    <w:rsid w:val="00462A67"/>
    <w:rsid w:val="0046376E"/>
    <w:rsid w:val="00463D0A"/>
    <w:rsid w:val="004648F9"/>
    <w:rsid w:val="004666A1"/>
    <w:rsid w:val="0047063A"/>
    <w:rsid w:val="00470993"/>
    <w:rsid w:val="00471142"/>
    <w:rsid w:val="00472E0C"/>
    <w:rsid w:val="00474008"/>
    <w:rsid w:val="004755EA"/>
    <w:rsid w:val="00475DBF"/>
    <w:rsid w:val="004760C6"/>
    <w:rsid w:val="0047648D"/>
    <w:rsid w:val="0047694F"/>
    <w:rsid w:val="00476AA5"/>
    <w:rsid w:val="00476C38"/>
    <w:rsid w:val="00477F82"/>
    <w:rsid w:val="00480524"/>
    <w:rsid w:val="00481227"/>
    <w:rsid w:val="004817DA"/>
    <w:rsid w:val="00481E2D"/>
    <w:rsid w:val="00482E23"/>
    <w:rsid w:val="00483DA2"/>
    <w:rsid w:val="00484EE4"/>
    <w:rsid w:val="00485766"/>
    <w:rsid w:val="00485F21"/>
    <w:rsid w:val="00486E23"/>
    <w:rsid w:val="00486E2C"/>
    <w:rsid w:val="004872FF"/>
    <w:rsid w:val="00491B3C"/>
    <w:rsid w:val="00492282"/>
    <w:rsid w:val="00492C13"/>
    <w:rsid w:val="0049324E"/>
    <w:rsid w:val="004946C2"/>
    <w:rsid w:val="004952A6"/>
    <w:rsid w:val="00495DBA"/>
    <w:rsid w:val="00497D4E"/>
    <w:rsid w:val="004A1A85"/>
    <w:rsid w:val="004A1F4B"/>
    <w:rsid w:val="004A3856"/>
    <w:rsid w:val="004A3E4B"/>
    <w:rsid w:val="004A4F21"/>
    <w:rsid w:val="004A7AC6"/>
    <w:rsid w:val="004B03BE"/>
    <w:rsid w:val="004B03C8"/>
    <w:rsid w:val="004B0A9D"/>
    <w:rsid w:val="004B16DA"/>
    <w:rsid w:val="004B27A1"/>
    <w:rsid w:val="004B32FB"/>
    <w:rsid w:val="004B3781"/>
    <w:rsid w:val="004B3BC5"/>
    <w:rsid w:val="004B79ED"/>
    <w:rsid w:val="004C0524"/>
    <w:rsid w:val="004C0697"/>
    <w:rsid w:val="004C2324"/>
    <w:rsid w:val="004C2511"/>
    <w:rsid w:val="004C26A2"/>
    <w:rsid w:val="004C3AE0"/>
    <w:rsid w:val="004C3E11"/>
    <w:rsid w:val="004C6190"/>
    <w:rsid w:val="004C63FC"/>
    <w:rsid w:val="004C671D"/>
    <w:rsid w:val="004C6BC6"/>
    <w:rsid w:val="004C6D89"/>
    <w:rsid w:val="004C717B"/>
    <w:rsid w:val="004D083E"/>
    <w:rsid w:val="004D276A"/>
    <w:rsid w:val="004D37B3"/>
    <w:rsid w:val="004D458D"/>
    <w:rsid w:val="004D5AB6"/>
    <w:rsid w:val="004D63F6"/>
    <w:rsid w:val="004D683B"/>
    <w:rsid w:val="004D6E6C"/>
    <w:rsid w:val="004D7406"/>
    <w:rsid w:val="004D7F58"/>
    <w:rsid w:val="004E1EED"/>
    <w:rsid w:val="004E24B7"/>
    <w:rsid w:val="004E3903"/>
    <w:rsid w:val="004E4443"/>
    <w:rsid w:val="004E457D"/>
    <w:rsid w:val="004E46F1"/>
    <w:rsid w:val="004E5347"/>
    <w:rsid w:val="004E6306"/>
    <w:rsid w:val="004E6D6F"/>
    <w:rsid w:val="004F0238"/>
    <w:rsid w:val="004F21BF"/>
    <w:rsid w:val="004F2DD9"/>
    <w:rsid w:val="004F3C33"/>
    <w:rsid w:val="004F4802"/>
    <w:rsid w:val="004F496E"/>
    <w:rsid w:val="004F4AEE"/>
    <w:rsid w:val="004F517C"/>
    <w:rsid w:val="004F5F45"/>
    <w:rsid w:val="004F731B"/>
    <w:rsid w:val="004F747C"/>
    <w:rsid w:val="004F7899"/>
    <w:rsid w:val="00500318"/>
    <w:rsid w:val="0050059E"/>
    <w:rsid w:val="00501F1C"/>
    <w:rsid w:val="0050261D"/>
    <w:rsid w:val="00502D47"/>
    <w:rsid w:val="005032BA"/>
    <w:rsid w:val="005034F8"/>
    <w:rsid w:val="00505397"/>
    <w:rsid w:val="0050545E"/>
    <w:rsid w:val="005056A8"/>
    <w:rsid w:val="005076F7"/>
    <w:rsid w:val="005079D6"/>
    <w:rsid w:val="00510101"/>
    <w:rsid w:val="0051109C"/>
    <w:rsid w:val="00511BEC"/>
    <w:rsid w:val="00512291"/>
    <w:rsid w:val="00513140"/>
    <w:rsid w:val="00513369"/>
    <w:rsid w:val="00513798"/>
    <w:rsid w:val="0051390F"/>
    <w:rsid w:val="00513BA7"/>
    <w:rsid w:val="005150C6"/>
    <w:rsid w:val="005160DD"/>
    <w:rsid w:val="0051671D"/>
    <w:rsid w:val="00517292"/>
    <w:rsid w:val="0051742B"/>
    <w:rsid w:val="00520726"/>
    <w:rsid w:val="00521077"/>
    <w:rsid w:val="0052134D"/>
    <w:rsid w:val="00521783"/>
    <w:rsid w:val="00521C21"/>
    <w:rsid w:val="00522946"/>
    <w:rsid w:val="00523740"/>
    <w:rsid w:val="00524B5C"/>
    <w:rsid w:val="005253F2"/>
    <w:rsid w:val="005258A5"/>
    <w:rsid w:val="00530812"/>
    <w:rsid w:val="0053124A"/>
    <w:rsid w:val="00532D35"/>
    <w:rsid w:val="0053339E"/>
    <w:rsid w:val="00533CA6"/>
    <w:rsid w:val="00535427"/>
    <w:rsid w:val="005416F0"/>
    <w:rsid w:val="005423DD"/>
    <w:rsid w:val="0054461D"/>
    <w:rsid w:val="00544822"/>
    <w:rsid w:val="0054558B"/>
    <w:rsid w:val="0054574A"/>
    <w:rsid w:val="00546EB7"/>
    <w:rsid w:val="00550055"/>
    <w:rsid w:val="00550088"/>
    <w:rsid w:val="0055016D"/>
    <w:rsid w:val="00551915"/>
    <w:rsid w:val="00551E05"/>
    <w:rsid w:val="005528DE"/>
    <w:rsid w:val="00552B11"/>
    <w:rsid w:val="00552DF0"/>
    <w:rsid w:val="00552E01"/>
    <w:rsid w:val="00552E18"/>
    <w:rsid w:val="005536BB"/>
    <w:rsid w:val="005541AA"/>
    <w:rsid w:val="0055460F"/>
    <w:rsid w:val="00555081"/>
    <w:rsid w:val="00555B3C"/>
    <w:rsid w:val="005561DE"/>
    <w:rsid w:val="00556274"/>
    <w:rsid w:val="005566B0"/>
    <w:rsid w:val="00556DF7"/>
    <w:rsid w:val="00557A3D"/>
    <w:rsid w:val="00560150"/>
    <w:rsid w:val="005609B0"/>
    <w:rsid w:val="005612A7"/>
    <w:rsid w:val="00561C99"/>
    <w:rsid w:val="0056217A"/>
    <w:rsid w:val="00562C72"/>
    <w:rsid w:val="00562EE2"/>
    <w:rsid w:val="005630A9"/>
    <w:rsid w:val="00563CAB"/>
    <w:rsid w:val="00564671"/>
    <w:rsid w:val="00564DAD"/>
    <w:rsid w:val="00565764"/>
    <w:rsid w:val="0056593E"/>
    <w:rsid w:val="00566278"/>
    <w:rsid w:val="0056639F"/>
    <w:rsid w:val="005664DF"/>
    <w:rsid w:val="005702F2"/>
    <w:rsid w:val="0057066D"/>
    <w:rsid w:val="0057117D"/>
    <w:rsid w:val="005715D9"/>
    <w:rsid w:val="005721FF"/>
    <w:rsid w:val="00572274"/>
    <w:rsid w:val="005747AB"/>
    <w:rsid w:val="005758F0"/>
    <w:rsid w:val="00575B17"/>
    <w:rsid w:val="005768E5"/>
    <w:rsid w:val="005776A0"/>
    <w:rsid w:val="00577953"/>
    <w:rsid w:val="0058108E"/>
    <w:rsid w:val="00581528"/>
    <w:rsid w:val="00581858"/>
    <w:rsid w:val="005819E2"/>
    <w:rsid w:val="00582186"/>
    <w:rsid w:val="00582B05"/>
    <w:rsid w:val="005834CA"/>
    <w:rsid w:val="00583B98"/>
    <w:rsid w:val="00583D97"/>
    <w:rsid w:val="0058431D"/>
    <w:rsid w:val="005846F7"/>
    <w:rsid w:val="00586847"/>
    <w:rsid w:val="00590223"/>
    <w:rsid w:val="0059075B"/>
    <w:rsid w:val="00590C6A"/>
    <w:rsid w:val="00592374"/>
    <w:rsid w:val="00592398"/>
    <w:rsid w:val="005925C1"/>
    <w:rsid w:val="0059389F"/>
    <w:rsid w:val="00593AED"/>
    <w:rsid w:val="00593B98"/>
    <w:rsid w:val="00593ECC"/>
    <w:rsid w:val="00594213"/>
    <w:rsid w:val="005950B1"/>
    <w:rsid w:val="00597008"/>
    <w:rsid w:val="005973AC"/>
    <w:rsid w:val="00597450"/>
    <w:rsid w:val="005A0221"/>
    <w:rsid w:val="005A0471"/>
    <w:rsid w:val="005A0ABA"/>
    <w:rsid w:val="005A1697"/>
    <w:rsid w:val="005A1750"/>
    <w:rsid w:val="005A248E"/>
    <w:rsid w:val="005A300A"/>
    <w:rsid w:val="005A32DB"/>
    <w:rsid w:val="005A3436"/>
    <w:rsid w:val="005A3DF2"/>
    <w:rsid w:val="005A4EA6"/>
    <w:rsid w:val="005A5263"/>
    <w:rsid w:val="005A5985"/>
    <w:rsid w:val="005A638B"/>
    <w:rsid w:val="005A675D"/>
    <w:rsid w:val="005A702D"/>
    <w:rsid w:val="005B1B7F"/>
    <w:rsid w:val="005B2231"/>
    <w:rsid w:val="005B2265"/>
    <w:rsid w:val="005B2536"/>
    <w:rsid w:val="005B357D"/>
    <w:rsid w:val="005B37A9"/>
    <w:rsid w:val="005B4B53"/>
    <w:rsid w:val="005B6ABB"/>
    <w:rsid w:val="005B6FA3"/>
    <w:rsid w:val="005B7147"/>
    <w:rsid w:val="005B7A39"/>
    <w:rsid w:val="005B7BEF"/>
    <w:rsid w:val="005B7E50"/>
    <w:rsid w:val="005C2D53"/>
    <w:rsid w:val="005C2D86"/>
    <w:rsid w:val="005C3823"/>
    <w:rsid w:val="005C39B7"/>
    <w:rsid w:val="005C3BDD"/>
    <w:rsid w:val="005C5B55"/>
    <w:rsid w:val="005C6488"/>
    <w:rsid w:val="005C6B1D"/>
    <w:rsid w:val="005C7E5F"/>
    <w:rsid w:val="005D1429"/>
    <w:rsid w:val="005D203F"/>
    <w:rsid w:val="005D2245"/>
    <w:rsid w:val="005D2DC2"/>
    <w:rsid w:val="005D3BC3"/>
    <w:rsid w:val="005D41B4"/>
    <w:rsid w:val="005D425E"/>
    <w:rsid w:val="005D5AA8"/>
    <w:rsid w:val="005D5D79"/>
    <w:rsid w:val="005D6538"/>
    <w:rsid w:val="005D6E1C"/>
    <w:rsid w:val="005D783A"/>
    <w:rsid w:val="005D7BDD"/>
    <w:rsid w:val="005E00D1"/>
    <w:rsid w:val="005E037A"/>
    <w:rsid w:val="005E1004"/>
    <w:rsid w:val="005E1097"/>
    <w:rsid w:val="005E2F8A"/>
    <w:rsid w:val="005E38CB"/>
    <w:rsid w:val="005E46D3"/>
    <w:rsid w:val="005E49F9"/>
    <w:rsid w:val="005E4B56"/>
    <w:rsid w:val="005E4FBD"/>
    <w:rsid w:val="005E52F1"/>
    <w:rsid w:val="005E6C02"/>
    <w:rsid w:val="005E6CFB"/>
    <w:rsid w:val="005E744D"/>
    <w:rsid w:val="005E74A4"/>
    <w:rsid w:val="005F0126"/>
    <w:rsid w:val="005F1A5E"/>
    <w:rsid w:val="005F256D"/>
    <w:rsid w:val="005F39EF"/>
    <w:rsid w:val="005F3B2A"/>
    <w:rsid w:val="005F4112"/>
    <w:rsid w:val="005F4EEE"/>
    <w:rsid w:val="005F5371"/>
    <w:rsid w:val="005F6A81"/>
    <w:rsid w:val="006007B3"/>
    <w:rsid w:val="00601E68"/>
    <w:rsid w:val="00602EEB"/>
    <w:rsid w:val="00603483"/>
    <w:rsid w:val="00604813"/>
    <w:rsid w:val="00604BC1"/>
    <w:rsid w:val="00604DE1"/>
    <w:rsid w:val="0060643B"/>
    <w:rsid w:val="00606A3C"/>
    <w:rsid w:val="00607AEA"/>
    <w:rsid w:val="00607B0E"/>
    <w:rsid w:val="00611BC0"/>
    <w:rsid w:val="00613F66"/>
    <w:rsid w:val="006148AD"/>
    <w:rsid w:val="00614A02"/>
    <w:rsid w:val="0061563D"/>
    <w:rsid w:val="00615793"/>
    <w:rsid w:val="00615E16"/>
    <w:rsid w:val="00620F89"/>
    <w:rsid w:val="006217AB"/>
    <w:rsid w:val="00622496"/>
    <w:rsid w:val="006241E7"/>
    <w:rsid w:val="00624A09"/>
    <w:rsid w:val="0062532A"/>
    <w:rsid w:val="00625ABD"/>
    <w:rsid w:val="00625BA3"/>
    <w:rsid w:val="00630029"/>
    <w:rsid w:val="006309A9"/>
    <w:rsid w:val="006309B9"/>
    <w:rsid w:val="00630BB6"/>
    <w:rsid w:val="00631DDD"/>
    <w:rsid w:val="00632860"/>
    <w:rsid w:val="0063480B"/>
    <w:rsid w:val="00634B4F"/>
    <w:rsid w:val="00634E0F"/>
    <w:rsid w:val="006353A7"/>
    <w:rsid w:val="00635AAA"/>
    <w:rsid w:val="00636C8D"/>
    <w:rsid w:val="00637281"/>
    <w:rsid w:val="006379B9"/>
    <w:rsid w:val="00640A33"/>
    <w:rsid w:val="00642432"/>
    <w:rsid w:val="00645975"/>
    <w:rsid w:val="00646919"/>
    <w:rsid w:val="00646EBE"/>
    <w:rsid w:val="006475E0"/>
    <w:rsid w:val="006477F2"/>
    <w:rsid w:val="00647B6F"/>
    <w:rsid w:val="00650F16"/>
    <w:rsid w:val="00651AF3"/>
    <w:rsid w:val="00651D03"/>
    <w:rsid w:val="00651FF2"/>
    <w:rsid w:val="006536E8"/>
    <w:rsid w:val="006546DF"/>
    <w:rsid w:val="00655361"/>
    <w:rsid w:val="00655555"/>
    <w:rsid w:val="00657827"/>
    <w:rsid w:val="006578DE"/>
    <w:rsid w:val="00657E95"/>
    <w:rsid w:val="00661965"/>
    <w:rsid w:val="00661A41"/>
    <w:rsid w:val="006629CD"/>
    <w:rsid w:val="00662FAF"/>
    <w:rsid w:val="00663ACC"/>
    <w:rsid w:val="00664091"/>
    <w:rsid w:val="00664F9B"/>
    <w:rsid w:val="00665A3A"/>
    <w:rsid w:val="00666A55"/>
    <w:rsid w:val="00666EA2"/>
    <w:rsid w:val="006670E2"/>
    <w:rsid w:val="00670387"/>
    <w:rsid w:val="00671EF4"/>
    <w:rsid w:val="0067242E"/>
    <w:rsid w:val="00672AB7"/>
    <w:rsid w:val="00673564"/>
    <w:rsid w:val="006735E3"/>
    <w:rsid w:val="0067461A"/>
    <w:rsid w:val="00675B9D"/>
    <w:rsid w:val="00676057"/>
    <w:rsid w:val="0067663D"/>
    <w:rsid w:val="00676BD5"/>
    <w:rsid w:val="00676F7A"/>
    <w:rsid w:val="00677B98"/>
    <w:rsid w:val="00680068"/>
    <w:rsid w:val="00680E24"/>
    <w:rsid w:val="00680F1B"/>
    <w:rsid w:val="00681699"/>
    <w:rsid w:val="00682142"/>
    <w:rsid w:val="006822AA"/>
    <w:rsid w:val="00682321"/>
    <w:rsid w:val="006825FF"/>
    <w:rsid w:val="00683016"/>
    <w:rsid w:val="00684700"/>
    <w:rsid w:val="0068587D"/>
    <w:rsid w:val="006865F2"/>
    <w:rsid w:val="00686BC7"/>
    <w:rsid w:val="00686C2C"/>
    <w:rsid w:val="00686FF2"/>
    <w:rsid w:val="006870B6"/>
    <w:rsid w:val="0068734A"/>
    <w:rsid w:val="00690080"/>
    <w:rsid w:val="006907EE"/>
    <w:rsid w:val="006913B7"/>
    <w:rsid w:val="006913E4"/>
    <w:rsid w:val="00691BC7"/>
    <w:rsid w:val="00691C65"/>
    <w:rsid w:val="00693370"/>
    <w:rsid w:val="0069511D"/>
    <w:rsid w:val="00695398"/>
    <w:rsid w:val="00696169"/>
    <w:rsid w:val="00697A62"/>
    <w:rsid w:val="00697AC5"/>
    <w:rsid w:val="006A0C14"/>
    <w:rsid w:val="006A109C"/>
    <w:rsid w:val="006A1772"/>
    <w:rsid w:val="006A1E9B"/>
    <w:rsid w:val="006A3101"/>
    <w:rsid w:val="006A4867"/>
    <w:rsid w:val="006A4B05"/>
    <w:rsid w:val="006A6419"/>
    <w:rsid w:val="006A7268"/>
    <w:rsid w:val="006B06EF"/>
    <w:rsid w:val="006B0FBA"/>
    <w:rsid w:val="006B1C2D"/>
    <w:rsid w:val="006B276C"/>
    <w:rsid w:val="006B35AD"/>
    <w:rsid w:val="006B4586"/>
    <w:rsid w:val="006B5104"/>
    <w:rsid w:val="006B531F"/>
    <w:rsid w:val="006B5764"/>
    <w:rsid w:val="006B5FC5"/>
    <w:rsid w:val="006C0034"/>
    <w:rsid w:val="006C0DBB"/>
    <w:rsid w:val="006C1822"/>
    <w:rsid w:val="006C1A85"/>
    <w:rsid w:val="006C26F8"/>
    <w:rsid w:val="006C427C"/>
    <w:rsid w:val="006C4525"/>
    <w:rsid w:val="006C47A0"/>
    <w:rsid w:val="006C4EBB"/>
    <w:rsid w:val="006C4F6F"/>
    <w:rsid w:val="006C580F"/>
    <w:rsid w:val="006D08F6"/>
    <w:rsid w:val="006D105D"/>
    <w:rsid w:val="006D1677"/>
    <w:rsid w:val="006D1988"/>
    <w:rsid w:val="006D220F"/>
    <w:rsid w:val="006D3AB3"/>
    <w:rsid w:val="006D489C"/>
    <w:rsid w:val="006D516F"/>
    <w:rsid w:val="006D5D07"/>
    <w:rsid w:val="006D5E23"/>
    <w:rsid w:val="006D6989"/>
    <w:rsid w:val="006D698B"/>
    <w:rsid w:val="006D76E8"/>
    <w:rsid w:val="006E2FEA"/>
    <w:rsid w:val="006E3256"/>
    <w:rsid w:val="006E5409"/>
    <w:rsid w:val="006E55C0"/>
    <w:rsid w:val="006E5D5C"/>
    <w:rsid w:val="006E73B7"/>
    <w:rsid w:val="006F078E"/>
    <w:rsid w:val="006F113C"/>
    <w:rsid w:val="006F12E3"/>
    <w:rsid w:val="006F2F99"/>
    <w:rsid w:val="006F3D38"/>
    <w:rsid w:val="006F3EF0"/>
    <w:rsid w:val="006F4041"/>
    <w:rsid w:val="006F47B3"/>
    <w:rsid w:val="006F516A"/>
    <w:rsid w:val="006F578C"/>
    <w:rsid w:val="006F5A15"/>
    <w:rsid w:val="006F5A35"/>
    <w:rsid w:val="006F6FFA"/>
    <w:rsid w:val="006F74FE"/>
    <w:rsid w:val="00700069"/>
    <w:rsid w:val="00700CE5"/>
    <w:rsid w:val="0070271B"/>
    <w:rsid w:val="0070383F"/>
    <w:rsid w:val="00704362"/>
    <w:rsid w:val="0070493A"/>
    <w:rsid w:val="00705D13"/>
    <w:rsid w:val="00705D80"/>
    <w:rsid w:val="00706611"/>
    <w:rsid w:val="00706FFD"/>
    <w:rsid w:val="007104E8"/>
    <w:rsid w:val="007105C2"/>
    <w:rsid w:val="007108A3"/>
    <w:rsid w:val="00711931"/>
    <w:rsid w:val="00711DBB"/>
    <w:rsid w:val="0071494E"/>
    <w:rsid w:val="007160BD"/>
    <w:rsid w:val="007200F7"/>
    <w:rsid w:val="00721278"/>
    <w:rsid w:val="00721C00"/>
    <w:rsid w:val="00721DFD"/>
    <w:rsid w:val="00721EA8"/>
    <w:rsid w:val="00722D47"/>
    <w:rsid w:val="00723091"/>
    <w:rsid w:val="007238A5"/>
    <w:rsid w:val="00723D3F"/>
    <w:rsid w:val="007247DA"/>
    <w:rsid w:val="00725AF1"/>
    <w:rsid w:val="0072640C"/>
    <w:rsid w:val="00726747"/>
    <w:rsid w:val="00726E51"/>
    <w:rsid w:val="00726F2E"/>
    <w:rsid w:val="00730550"/>
    <w:rsid w:val="007323BE"/>
    <w:rsid w:val="0073358A"/>
    <w:rsid w:val="007338DE"/>
    <w:rsid w:val="00734714"/>
    <w:rsid w:val="0073476B"/>
    <w:rsid w:val="00734D25"/>
    <w:rsid w:val="00736397"/>
    <w:rsid w:val="007368F2"/>
    <w:rsid w:val="007379E8"/>
    <w:rsid w:val="00737B4F"/>
    <w:rsid w:val="00737D8C"/>
    <w:rsid w:val="0074142D"/>
    <w:rsid w:val="00741FB9"/>
    <w:rsid w:val="00742215"/>
    <w:rsid w:val="00742363"/>
    <w:rsid w:val="007426A5"/>
    <w:rsid w:val="00743643"/>
    <w:rsid w:val="00743F40"/>
    <w:rsid w:val="007449BA"/>
    <w:rsid w:val="00744D8F"/>
    <w:rsid w:val="00744F88"/>
    <w:rsid w:val="0074525A"/>
    <w:rsid w:val="0074529E"/>
    <w:rsid w:val="00745491"/>
    <w:rsid w:val="00745768"/>
    <w:rsid w:val="00746370"/>
    <w:rsid w:val="00746E08"/>
    <w:rsid w:val="007471A8"/>
    <w:rsid w:val="00751098"/>
    <w:rsid w:val="00751330"/>
    <w:rsid w:val="00751D07"/>
    <w:rsid w:val="007522FE"/>
    <w:rsid w:val="00752B56"/>
    <w:rsid w:val="007538FA"/>
    <w:rsid w:val="00754C20"/>
    <w:rsid w:val="00754CF0"/>
    <w:rsid w:val="00754EC9"/>
    <w:rsid w:val="00754F97"/>
    <w:rsid w:val="00756C0F"/>
    <w:rsid w:val="00756FA5"/>
    <w:rsid w:val="007575EB"/>
    <w:rsid w:val="00757DA1"/>
    <w:rsid w:val="007619F0"/>
    <w:rsid w:val="00762085"/>
    <w:rsid w:val="00762195"/>
    <w:rsid w:val="00763BB5"/>
    <w:rsid w:val="00767026"/>
    <w:rsid w:val="00767EA1"/>
    <w:rsid w:val="00770642"/>
    <w:rsid w:val="00770C8E"/>
    <w:rsid w:val="00771BA8"/>
    <w:rsid w:val="0077227B"/>
    <w:rsid w:val="0077258C"/>
    <w:rsid w:val="00772DF9"/>
    <w:rsid w:val="007737C2"/>
    <w:rsid w:val="00773964"/>
    <w:rsid w:val="00773B57"/>
    <w:rsid w:val="00773F38"/>
    <w:rsid w:val="00773F48"/>
    <w:rsid w:val="007741F5"/>
    <w:rsid w:val="007744D9"/>
    <w:rsid w:val="007771D9"/>
    <w:rsid w:val="00780F9D"/>
    <w:rsid w:val="00781A8B"/>
    <w:rsid w:val="0078226D"/>
    <w:rsid w:val="00782339"/>
    <w:rsid w:val="007829B4"/>
    <w:rsid w:val="00782E58"/>
    <w:rsid w:val="007864D0"/>
    <w:rsid w:val="00787B3D"/>
    <w:rsid w:val="0079028D"/>
    <w:rsid w:val="0079030E"/>
    <w:rsid w:val="0079126E"/>
    <w:rsid w:val="00791577"/>
    <w:rsid w:val="00791FB1"/>
    <w:rsid w:val="00793CBA"/>
    <w:rsid w:val="00794674"/>
    <w:rsid w:val="007949F7"/>
    <w:rsid w:val="00795EDC"/>
    <w:rsid w:val="00795F5E"/>
    <w:rsid w:val="00796431"/>
    <w:rsid w:val="0079737C"/>
    <w:rsid w:val="0079787A"/>
    <w:rsid w:val="007A10AF"/>
    <w:rsid w:val="007A1685"/>
    <w:rsid w:val="007A3493"/>
    <w:rsid w:val="007A42AB"/>
    <w:rsid w:val="007A4E1C"/>
    <w:rsid w:val="007A5009"/>
    <w:rsid w:val="007A544A"/>
    <w:rsid w:val="007A5B02"/>
    <w:rsid w:val="007A5C00"/>
    <w:rsid w:val="007A6690"/>
    <w:rsid w:val="007A6C36"/>
    <w:rsid w:val="007A7CA8"/>
    <w:rsid w:val="007B000B"/>
    <w:rsid w:val="007B3C10"/>
    <w:rsid w:val="007B61B5"/>
    <w:rsid w:val="007B6262"/>
    <w:rsid w:val="007C0C8F"/>
    <w:rsid w:val="007C1323"/>
    <w:rsid w:val="007C21E2"/>
    <w:rsid w:val="007C3EF8"/>
    <w:rsid w:val="007C4DB3"/>
    <w:rsid w:val="007C62CD"/>
    <w:rsid w:val="007C65F0"/>
    <w:rsid w:val="007C7347"/>
    <w:rsid w:val="007C7778"/>
    <w:rsid w:val="007D051B"/>
    <w:rsid w:val="007D0F7C"/>
    <w:rsid w:val="007D10D8"/>
    <w:rsid w:val="007D1ABB"/>
    <w:rsid w:val="007D1BAD"/>
    <w:rsid w:val="007D1CEA"/>
    <w:rsid w:val="007D2462"/>
    <w:rsid w:val="007D2DCF"/>
    <w:rsid w:val="007D4882"/>
    <w:rsid w:val="007D49CE"/>
    <w:rsid w:val="007D4F6F"/>
    <w:rsid w:val="007D5F69"/>
    <w:rsid w:val="007D7A40"/>
    <w:rsid w:val="007D7E95"/>
    <w:rsid w:val="007E0035"/>
    <w:rsid w:val="007E1728"/>
    <w:rsid w:val="007E1A6F"/>
    <w:rsid w:val="007E375B"/>
    <w:rsid w:val="007E3B41"/>
    <w:rsid w:val="007E4099"/>
    <w:rsid w:val="007E4E57"/>
    <w:rsid w:val="007E4E66"/>
    <w:rsid w:val="007E77C0"/>
    <w:rsid w:val="007F0CFB"/>
    <w:rsid w:val="007F0DA6"/>
    <w:rsid w:val="007F0F12"/>
    <w:rsid w:val="007F1BBD"/>
    <w:rsid w:val="007F3320"/>
    <w:rsid w:val="007F3780"/>
    <w:rsid w:val="007F3AF2"/>
    <w:rsid w:val="007F3E16"/>
    <w:rsid w:val="007F40D1"/>
    <w:rsid w:val="007F4324"/>
    <w:rsid w:val="007F66CB"/>
    <w:rsid w:val="007F6BD4"/>
    <w:rsid w:val="007F7AB5"/>
    <w:rsid w:val="00800D07"/>
    <w:rsid w:val="00802F00"/>
    <w:rsid w:val="00803A06"/>
    <w:rsid w:val="00804C36"/>
    <w:rsid w:val="00804E8D"/>
    <w:rsid w:val="008051D6"/>
    <w:rsid w:val="00805407"/>
    <w:rsid w:val="00805DA6"/>
    <w:rsid w:val="008066CE"/>
    <w:rsid w:val="008070DD"/>
    <w:rsid w:val="00807DE9"/>
    <w:rsid w:val="00811961"/>
    <w:rsid w:val="00814410"/>
    <w:rsid w:val="00815FF0"/>
    <w:rsid w:val="00816E55"/>
    <w:rsid w:val="008176DE"/>
    <w:rsid w:val="00817A20"/>
    <w:rsid w:val="008206CC"/>
    <w:rsid w:val="0082124E"/>
    <w:rsid w:val="00822F77"/>
    <w:rsid w:val="008255BF"/>
    <w:rsid w:val="008255E2"/>
    <w:rsid w:val="008258E0"/>
    <w:rsid w:val="00827304"/>
    <w:rsid w:val="00830818"/>
    <w:rsid w:val="00830D1D"/>
    <w:rsid w:val="00832B88"/>
    <w:rsid w:val="008339E5"/>
    <w:rsid w:val="00833A80"/>
    <w:rsid w:val="00835247"/>
    <w:rsid w:val="008359DE"/>
    <w:rsid w:val="00835E3D"/>
    <w:rsid w:val="008361DD"/>
    <w:rsid w:val="0083635E"/>
    <w:rsid w:val="008364A3"/>
    <w:rsid w:val="00836AB9"/>
    <w:rsid w:val="008379B4"/>
    <w:rsid w:val="00840C68"/>
    <w:rsid w:val="008411CD"/>
    <w:rsid w:val="00842286"/>
    <w:rsid w:val="00842597"/>
    <w:rsid w:val="008427A2"/>
    <w:rsid w:val="00842EBA"/>
    <w:rsid w:val="00843AE7"/>
    <w:rsid w:val="00844233"/>
    <w:rsid w:val="008462CA"/>
    <w:rsid w:val="00846353"/>
    <w:rsid w:val="00847544"/>
    <w:rsid w:val="008475EB"/>
    <w:rsid w:val="0085045C"/>
    <w:rsid w:val="008509D2"/>
    <w:rsid w:val="00850D09"/>
    <w:rsid w:val="00850DD2"/>
    <w:rsid w:val="00850F7A"/>
    <w:rsid w:val="0085116E"/>
    <w:rsid w:val="008513C5"/>
    <w:rsid w:val="0085296E"/>
    <w:rsid w:val="00853324"/>
    <w:rsid w:val="00853DD8"/>
    <w:rsid w:val="00853FA5"/>
    <w:rsid w:val="0085433E"/>
    <w:rsid w:val="00854EF9"/>
    <w:rsid w:val="008555D4"/>
    <w:rsid w:val="008565A2"/>
    <w:rsid w:val="008613B5"/>
    <w:rsid w:val="008613C6"/>
    <w:rsid w:val="0086253C"/>
    <w:rsid w:val="00862700"/>
    <w:rsid w:val="00862F00"/>
    <w:rsid w:val="008634ED"/>
    <w:rsid w:val="00863F73"/>
    <w:rsid w:val="0086420C"/>
    <w:rsid w:val="00866533"/>
    <w:rsid w:val="00867258"/>
    <w:rsid w:val="0086730F"/>
    <w:rsid w:val="00867C6B"/>
    <w:rsid w:val="00867CCB"/>
    <w:rsid w:val="008701AE"/>
    <w:rsid w:val="008712EC"/>
    <w:rsid w:val="00871A73"/>
    <w:rsid w:val="008739F0"/>
    <w:rsid w:val="00873C2B"/>
    <w:rsid w:val="00873D5D"/>
    <w:rsid w:val="00875748"/>
    <w:rsid w:val="00877212"/>
    <w:rsid w:val="00877754"/>
    <w:rsid w:val="00881B13"/>
    <w:rsid w:val="00881B70"/>
    <w:rsid w:val="008829A7"/>
    <w:rsid w:val="008839D8"/>
    <w:rsid w:val="00884E82"/>
    <w:rsid w:val="00885D09"/>
    <w:rsid w:val="00887E81"/>
    <w:rsid w:val="00891194"/>
    <w:rsid w:val="00891D15"/>
    <w:rsid w:val="00891E29"/>
    <w:rsid w:val="008929AD"/>
    <w:rsid w:val="00892A5E"/>
    <w:rsid w:val="0089323E"/>
    <w:rsid w:val="00895AD2"/>
    <w:rsid w:val="00895BD1"/>
    <w:rsid w:val="00895CB2"/>
    <w:rsid w:val="008A1DC8"/>
    <w:rsid w:val="008A270F"/>
    <w:rsid w:val="008A2D64"/>
    <w:rsid w:val="008A34AE"/>
    <w:rsid w:val="008A35B1"/>
    <w:rsid w:val="008A5118"/>
    <w:rsid w:val="008A5E92"/>
    <w:rsid w:val="008A6B45"/>
    <w:rsid w:val="008A7CA1"/>
    <w:rsid w:val="008B317B"/>
    <w:rsid w:val="008B340B"/>
    <w:rsid w:val="008B35AF"/>
    <w:rsid w:val="008B7AA8"/>
    <w:rsid w:val="008B7D64"/>
    <w:rsid w:val="008B7ECB"/>
    <w:rsid w:val="008C10E8"/>
    <w:rsid w:val="008C2A9E"/>
    <w:rsid w:val="008C49DC"/>
    <w:rsid w:val="008C5DF8"/>
    <w:rsid w:val="008C5F87"/>
    <w:rsid w:val="008C7B6E"/>
    <w:rsid w:val="008D08EE"/>
    <w:rsid w:val="008D104B"/>
    <w:rsid w:val="008D14AE"/>
    <w:rsid w:val="008D1FB6"/>
    <w:rsid w:val="008D31E3"/>
    <w:rsid w:val="008D3D79"/>
    <w:rsid w:val="008D502D"/>
    <w:rsid w:val="008D5951"/>
    <w:rsid w:val="008D6867"/>
    <w:rsid w:val="008D76BD"/>
    <w:rsid w:val="008E10B8"/>
    <w:rsid w:val="008E1331"/>
    <w:rsid w:val="008E1352"/>
    <w:rsid w:val="008E21D5"/>
    <w:rsid w:val="008E436E"/>
    <w:rsid w:val="008E4697"/>
    <w:rsid w:val="008E4AC1"/>
    <w:rsid w:val="008E51EE"/>
    <w:rsid w:val="008E566E"/>
    <w:rsid w:val="008E5881"/>
    <w:rsid w:val="008E5EE7"/>
    <w:rsid w:val="008E7244"/>
    <w:rsid w:val="008E7991"/>
    <w:rsid w:val="008E7E92"/>
    <w:rsid w:val="008F0ABA"/>
    <w:rsid w:val="008F0BA4"/>
    <w:rsid w:val="008F175D"/>
    <w:rsid w:val="008F2E27"/>
    <w:rsid w:val="008F321A"/>
    <w:rsid w:val="008F3DE6"/>
    <w:rsid w:val="008F4127"/>
    <w:rsid w:val="008F5A46"/>
    <w:rsid w:val="008F6D05"/>
    <w:rsid w:val="008F70B9"/>
    <w:rsid w:val="008F7A16"/>
    <w:rsid w:val="00900A9D"/>
    <w:rsid w:val="0090130A"/>
    <w:rsid w:val="0090196D"/>
    <w:rsid w:val="009019D7"/>
    <w:rsid w:val="0090506B"/>
    <w:rsid w:val="00907FC1"/>
    <w:rsid w:val="009107DA"/>
    <w:rsid w:val="009117A0"/>
    <w:rsid w:val="00912F26"/>
    <w:rsid w:val="00913D2F"/>
    <w:rsid w:val="00914055"/>
    <w:rsid w:val="00914ED4"/>
    <w:rsid w:val="00914F6E"/>
    <w:rsid w:val="00916030"/>
    <w:rsid w:val="0091738A"/>
    <w:rsid w:val="00917A1F"/>
    <w:rsid w:val="00920D56"/>
    <w:rsid w:val="0092111C"/>
    <w:rsid w:val="00921878"/>
    <w:rsid w:val="009221EF"/>
    <w:rsid w:val="00922D6A"/>
    <w:rsid w:val="00922F18"/>
    <w:rsid w:val="00923420"/>
    <w:rsid w:val="00923DEC"/>
    <w:rsid w:val="00925A40"/>
    <w:rsid w:val="00926B93"/>
    <w:rsid w:val="00927B59"/>
    <w:rsid w:val="009305B3"/>
    <w:rsid w:val="00930C04"/>
    <w:rsid w:val="0093108C"/>
    <w:rsid w:val="0093201A"/>
    <w:rsid w:val="00932872"/>
    <w:rsid w:val="00933B6D"/>
    <w:rsid w:val="00937D50"/>
    <w:rsid w:val="00940382"/>
    <w:rsid w:val="00940B68"/>
    <w:rsid w:val="00942373"/>
    <w:rsid w:val="009434C5"/>
    <w:rsid w:val="009441A5"/>
    <w:rsid w:val="00946510"/>
    <w:rsid w:val="0094704B"/>
    <w:rsid w:val="00947741"/>
    <w:rsid w:val="0094791F"/>
    <w:rsid w:val="00947C2E"/>
    <w:rsid w:val="0095048D"/>
    <w:rsid w:val="00951694"/>
    <w:rsid w:val="00951D93"/>
    <w:rsid w:val="0095349B"/>
    <w:rsid w:val="0095396B"/>
    <w:rsid w:val="0095555E"/>
    <w:rsid w:val="00955AC5"/>
    <w:rsid w:val="009578FE"/>
    <w:rsid w:val="00960068"/>
    <w:rsid w:val="0096016D"/>
    <w:rsid w:val="009606ED"/>
    <w:rsid w:val="0096089C"/>
    <w:rsid w:val="00960A55"/>
    <w:rsid w:val="0096150D"/>
    <w:rsid w:val="009615FF"/>
    <w:rsid w:val="009629F8"/>
    <w:rsid w:val="00962B71"/>
    <w:rsid w:val="00963DB3"/>
    <w:rsid w:val="00966735"/>
    <w:rsid w:val="00966E18"/>
    <w:rsid w:val="00967CBA"/>
    <w:rsid w:val="00970F11"/>
    <w:rsid w:val="0097133A"/>
    <w:rsid w:val="009713D8"/>
    <w:rsid w:val="00971C18"/>
    <w:rsid w:val="00974B44"/>
    <w:rsid w:val="009771D7"/>
    <w:rsid w:val="009814AC"/>
    <w:rsid w:val="0098177D"/>
    <w:rsid w:val="009825FF"/>
    <w:rsid w:val="009829B8"/>
    <w:rsid w:val="00982CE4"/>
    <w:rsid w:val="00983124"/>
    <w:rsid w:val="009832DA"/>
    <w:rsid w:val="00983F91"/>
    <w:rsid w:val="00984D66"/>
    <w:rsid w:val="0098504B"/>
    <w:rsid w:val="00986064"/>
    <w:rsid w:val="00987B49"/>
    <w:rsid w:val="00987E44"/>
    <w:rsid w:val="009906CD"/>
    <w:rsid w:val="00990F0D"/>
    <w:rsid w:val="009929A4"/>
    <w:rsid w:val="00993A91"/>
    <w:rsid w:val="00994528"/>
    <w:rsid w:val="009973B8"/>
    <w:rsid w:val="009974A4"/>
    <w:rsid w:val="00997526"/>
    <w:rsid w:val="009A0266"/>
    <w:rsid w:val="009A034B"/>
    <w:rsid w:val="009A1010"/>
    <w:rsid w:val="009A10BF"/>
    <w:rsid w:val="009A1CFA"/>
    <w:rsid w:val="009A3FE4"/>
    <w:rsid w:val="009A5659"/>
    <w:rsid w:val="009A57CA"/>
    <w:rsid w:val="009A6361"/>
    <w:rsid w:val="009A6F79"/>
    <w:rsid w:val="009A7319"/>
    <w:rsid w:val="009B024C"/>
    <w:rsid w:val="009B0739"/>
    <w:rsid w:val="009B12AF"/>
    <w:rsid w:val="009B4B43"/>
    <w:rsid w:val="009B64E0"/>
    <w:rsid w:val="009B7A7D"/>
    <w:rsid w:val="009C0745"/>
    <w:rsid w:val="009C2FEA"/>
    <w:rsid w:val="009C338C"/>
    <w:rsid w:val="009C3FD9"/>
    <w:rsid w:val="009C490D"/>
    <w:rsid w:val="009C6160"/>
    <w:rsid w:val="009C6D4C"/>
    <w:rsid w:val="009C7163"/>
    <w:rsid w:val="009D1006"/>
    <w:rsid w:val="009D2115"/>
    <w:rsid w:val="009D2BEF"/>
    <w:rsid w:val="009D2E21"/>
    <w:rsid w:val="009D324B"/>
    <w:rsid w:val="009D3259"/>
    <w:rsid w:val="009D33C1"/>
    <w:rsid w:val="009D3878"/>
    <w:rsid w:val="009D482F"/>
    <w:rsid w:val="009D688C"/>
    <w:rsid w:val="009D6C68"/>
    <w:rsid w:val="009E0E15"/>
    <w:rsid w:val="009E1009"/>
    <w:rsid w:val="009E10B1"/>
    <w:rsid w:val="009E1CEE"/>
    <w:rsid w:val="009E2888"/>
    <w:rsid w:val="009E2956"/>
    <w:rsid w:val="009E2AB3"/>
    <w:rsid w:val="009E599B"/>
    <w:rsid w:val="009E6AF3"/>
    <w:rsid w:val="009E7827"/>
    <w:rsid w:val="009E789F"/>
    <w:rsid w:val="009E7FDD"/>
    <w:rsid w:val="009F0019"/>
    <w:rsid w:val="009F2529"/>
    <w:rsid w:val="009F3946"/>
    <w:rsid w:val="009F5710"/>
    <w:rsid w:val="009F599A"/>
    <w:rsid w:val="009F6583"/>
    <w:rsid w:val="009F7F89"/>
    <w:rsid w:val="00A0120B"/>
    <w:rsid w:val="00A0312D"/>
    <w:rsid w:val="00A032AD"/>
    <w:rsid w:val="00A03C58"/>
    <w:rsid w:val="00A04708"/>
    <w:rsid w:val="00A066CF"/>
    <w:rsid w:val="00A079DC"/>
    <w:rsid w:val="00A07DAF"/>
    <w:rsid w:val="00A117D5"/>
    <w:rsid w:val="00A120EE"/>
    <w:rsid w:val="00A12A0C"/>
    <w:rsid w:val="00A12B9F"/>
    <w:rsid w:val="00A14AC9"/>
    <w:rsid w:val="00A14F08"/>
    <w:rsid w:val="00A15181"/>
    <w:rsid w:val="00A17D2A"/>
    <w:rsid w:val="00A2083E"/>
    <w:rsid w:val="00A20AFF"/>
    <w:rsid w:val="00A2115A"/>
    <w:rsid w:val="00A21548"/>
    <w:rsid w:val="00A22540"/>
    <w:rsid w:val="00A2265B"/>
    <w:rsid w:val="00A23EF3"/>
    <w:rsid w:val="00A246F8"/>
    <w:rsid w:val="00A262C6"/>
    <w:rsid w:val="00A2728C"/>
    <w:rsid w:val="00A30329"/>
    <w:rsid w:val="00A306D7"/>
    <w:rsid w:val="00A309CA"/>
    <w:rsid w:val="00A31625"/>
    <w:rsid w:val="00A31986"/>
    <w:rsid w:val="00A31CB5"/>
    <w:rsid w:val="00A321C2"/>
    <w:rsid w:val="00A32A20"/>
    <w:rsid w:val="00A334E7"/>
    <w:rsid w:val="00A3498C"/>
    <w:rsid w:val="00A34B29"/>
    <w:rsid w:val="00A34EEE"/>
    <w:rsid w:val="00A35A25"/>
    <w:rsid w:val="00A36173"/>
    <w:rsid w:val="00A366FA"/>
    <w:rsid w:val="00A37A9C"/>
    <w:rsid w:val="00A40D35"/>
    <w:rsid w:val="00A411C4"/>
    <w:rsid w:val="00A41632"/>
    <w:rsid w:val="00A41D80"/>
    <w:rsid w:val="00A42694"/>
    <w:rsid w:val="00A43C28"/>
    <w:rsid w:val="00A44156"/>
    <w:rsid w:val="00A4499F"/>
    <w:rsid w:val="00A44B62"/>
    <w:rsid w:val="00A45069"/>
    <w:rsid w:val="00A459D6"/>
    <w:rsid w:val="00A4691C"/>
    <w:rsid w:val="00A46C34"/>
    <w:rsid w:val="00A473AD"/>
    <w:rsid w:val="00A5003E"/>
    <w:rsid w:val="00A505D6"/>
    <w:rsid w:val="00A50AF2"/>
    <w:rsid w:val="00A524F7"/>
    <w:rsid w:val="00A542B1"/>
    <w:rsid w:val="00A5563B"/>
    <w:rsid w:val="00A57734"/>
    <w:rsid w:val="00A60398"/>
    <w:rsid w:val="00A61345"/>
    <w:rsid w:val="00A6183E"/>
    <w:rsid w:val="00A62646"/>
    <w:rsid w:val="00A630F2"/>
    <w:rsid w:val="00A65458"/>
    <w:rsid w:val="00A65936"/>
    <w:rsid w:val="00A65BBE"/>
    <w:rsid w:val="00A6728A"/>
    <w:rsid w:val="00A6795E"/>
    <w:rsid w:val="00A67964"/>
    <w:rsid w:val="00A7082A"/>
    <w:rsid w:val="00A70C5A"/>
    <w:rsid w:val="00A712A1"/>
    <w:rsid w:val="00A71426"/>
    <w:rsid w:val="00A7242B"/>
    <w:rsid w:val="00A72D3C"/>
    <w:rsid w:val="00A74175"/>
    <w:rsid w:val="00A7487D"/>
    <w:rsid w:val="00A75494"/>
    <w:rsid w:val="00A756C3"/>
    <w:rsid w:val="00A75928"/>
    <w:rsid w:val="00A75EDE"/>
    <w:rsid w:val="00A806F6"/>
    <w:rsid w:val="00A80F74"/>
    <w:rsid w:val="00A817DD"/>
    <w:rsid w:val="00A817F9"/>
    <w:rsid w:val="00A82C06"/>
    <w:rsid w:val="00A83B7D"/>
    <w:rsid w:val="00A83E7A"/>
    <w:rsid w:val="00A83F08"/>
    <w:rsid w:val="00A90764"/>
    <w:rsid w:val="00A90872"/>
    <w:rsid w:val="00A912A2"/>
    <w:rsid w:val="00A92018"/>
    <w:rsid w:val="00A932AF"/>
    <w:rsid w:val="00A934B1"/>
    <w:rsid w:val="00A93A69"/>
    <w:rsid w:val="00A957C2"/>
    <w:rsid w:val="00A97A3A"/>
    <w:rsid w:val="00A97AB5"/>
    <w:rsid w:val="00AA00CE"/>
    <w:rsid w:val="00AA1E1D"/>
    <w:rsid w:val="00AA2C05"/>
    <w:rsid w:val="00AA458E"/>
    <w:rsid w:val="00AA47A2"/>
    <w:rsid w:val="00AA5001"/>
    <w:rsid w:val="00AA5647"/>
    <w:rsid w:val="00AA691E"/>
    <w:rsid w:val="00AB17D8"/>
    <w:rsid w:val="00AB26F4"/>
    <w:rsid w:val="00AB40FA"/>
    <w:rsid w:val="00AB4380"/>
    <w:rsid w:val="00AB4AFB"/>
    <w:rsid w:val="00AB4E99"/>
    <w:rsid w:val="00AB5E2C"/>
    <w:rsid w:val="00AB6CBC"/>
    <w:rsid w:val="00AB72A3"/>
    <w:rsid w:val="00AC00DA"/>
    <w:rsid w:val="00AC353D"/>
    <w:rsid w:val="00AC5E05"/>
    <w:rsid w:val="00AC7589"/>
    <w:rsid w:val="00AC78CE"/>
    <w:rsid w:val="00AD0943"/>
    <w:rsid w:val="00AD0D96"/>
    <w:rsid w:val="00AD1394"/>
    <w:rsid w:val="00AD2194"/>
    <w:rsid w:val="00AD2B6D"/>
    <w:rsid w:val="00AD2C7F"/>
    <w:rsid w:val="00AD3B75"/>
    <w:rsid w:val="00AD50DB"/>
    <w:rsid w:val="00AD772E"/>
    <w:rsid w:val="00AD77E3"/>
    <w:rsid w:val="00AD7B46"/>
    <w:rsid w:val="00AE06A4"/>
    <w:rsid w:val="00AE08CA"/>
    <w:rsid w:val="00AE1339"/>
    <w:rsid w:val="00AE21AF"/>
    <w:rsid w:val="00AE2CCF"/>
    <w:rsid w:val="00AE3485"/>
    <w:rsid w:val="00AE490D"/>
    <w:rsid w:val="00AE4A06"/>
    <w:rsid w:val="00AE6415"/>
    <w:rsid w:val="00AE74F8"/>
    <w:rsid w:val="00AF0746"/>
    <w:rsid w:val="00AF12E2"/>
    <w:rsid w:val="00AF13DB"/>
    <w:rsid w:val="00AF2B51"/>
    <w:rsid w:val="00AF2C06"/>
    <w:rsid w:val="00AF4B25"/>
    <w:rsid w:val="00AF58A5"/>
    <w:rsid w:val="00AF5D43"/>
    <w:rsid w:val="00AF606F"/>
    <w:rsid w:val="00AF64F8"/>
    <w:rsid w:val="00AF6827"/>
    <w:rsid w:val="00AF6B1A"/>
    <w:rsid w:val="00AF6CA2"/>
    <w:rsid w:val="00AF6CAD"/>
    <w:rsid w:val="00AF6D2F"/>
    <w:rsid w:val="00AF7592"/>
    <w:rsid w:val="00AF7E4F"/>
    <w:rsid w:val="00B011F3"/>
    <w:rsid w:val="00B016E8"/>
    <w:rsid w:val="00B02799"/>
    <w:rsid w:val="00B02C5E"/>
    <w:rsid w:val="00B03D88"/>
    <w:rsid w:val="00B04CAF"/>
    <w:rsid w:val="00B04D2A"/>
    <w:rsid w:val="00B0542F"/>
    <w:rsid w:val="00B06B3A"/>
    <w:rsid w:val="00B10048"/>
    <w:rsid w:val="00B1048C"/>
    <w:rsid w:val="00B10693"/>
    <w:rsid w:val="00B10C68"/>
    <w:rsid w:val="00B11429"/>
    <w:rsid w:val="00B12ACE"/>
    <w:rsid w:val="00B13DDC"/>
    <w:rsid w:val="00B14C65"/>
    <w:rsid w:val="00B15F8C"/>
    <w:rsid w:val="00B1689E"/>
    <w:rsid w:val="00B17B42"/>
    <w:rsid w:val="00B20A02"/>
    <w:rsid w:val="00B21F59"/>
    <w:rsid w:val="00B22498"/>
    <w:rsid w:val="00B23C31"/>
    <w:rsid w:val="00B240BF"/>
    <w:rsid w:val="00B24976"/>
    <w:rsid w:val="00B24E68"/>
    <w:rsid w:val="00B25183"/>
    <w:rsid w:val="00B2625A"/>
    <w:rsid w:val="00B30E48"/>
    <w:rsid w:val="00B32ECA"/>
    <w:rsid w:val="00B334CC"/>
    <w:rsid w:val="00B335AB"/>
    <w:rsid w:val="00B35F49"/>
    <w:rsid w:val="00B36A3B"/>
    <w:rsid w:val="00B37F6D"/>
    <w:rsid w:val="00B40007"/>
    <w:rsid w:val="00B40201"/>
    <w:rsid w:val="00B40E5D"/>
    <w:rsid w:val="00B4127D"/>
    <w:rsid w:val="00B41B64"/>
    <w:rsid w:val="00B41F21"/>
    <w:rsid w:val="00B42E5E"/>
    <w:rsid w:val="00B431B2"/>
    <w:rsid w:val="00B4441A"/>
    <w:rsid w:val="00B45AD7"/>
    <w:rsid w:val="00B45F80"/>
    <w:rsid w:val="00B466EA"/>
    <w:rsid w:val="00B46AAC"/>
    <w:rsid w:val="00B46FF3"/>
    <w:rsid w:val="00B4714A"/>
    <w:rsid w:val="00B47ABD"/>
    <w:rsid w:val="00B50AE2"/>
    <w:rsid w:val="00B5115B"/>
    <w:rsid w:val="00B511D4"/>
    <w:rsid w:val="00B51B9C"/>
    <w:rsid w:val="00B52B41"/>
    <w:rsid w:val="00B52F03"/>
    <w:rsid w:val="00B52FB8"/>
    <w:rsid w:val="00B551C4"/>
    <w:rsid w:val="00B55613"/>
    <w:rsid w:val="00B55F44"/>
    <w:rsid w:val="00B56406"/>
    <w:rsid w:val="00B56973"/>
    <w:rsid w:val="00B57262"/>
    <w:rsid w:val="00B60955"/>
    <w:rsid w:val="00B61474"/>
    <w:rsid w:val="00B62174"/>
    <w:rsid w:val="00B62295"/>
    <w:rsid w:val="00B62757"/>
    <w:rsid w:val="00B62C2F"/>
    <w:rsid w:val="00B63691"/>
    <w:rsid w:val="00B6370E"/>
    <w:rsid w:val="00B64064"/>
    <w:rsid w:val="00B647B0"/>
    <w:rsid w:val="00B64D2F"/>
    <w:rsid w:val="00B65B57"/>
    <w:rsid w:val="00B70342"/>
    <w:rsid w:val="00B70F47"/>
    <w:rsid w:val="00B711FE"/>
    <w:rsid w:val="00B72BB2"/>
    <w:rsid w:val="00B72D5E"/>
    <w:rsid w:val="00B737CB"/>
    <w:rsid w:val="00B746EB"/>
    <w:rsid w:val="00B74981"/>
    <w:rsid w:val="00B75021"/>
    <w:rsid w:val="00B764B5"/>
    <w:rsid w:val="00B769A7"/>
    <w:rsid w:val="00B76DF4"/>
    <w:rsid w:val="00B81364"/>
    <w:rsid w:val="00B8164B"/>
    <w:rsid w:val="00B8297B"/>
    <w:rsid w:val="00B83123"/>
    <w:rsid w:val="00B83531"/>
    <w:rsid w:val="00B83CD0"/>
    <w:rsid w:val="00B8456D"/>
    <w:rsid w:val="00B8496A"/>
    <w:rsid w:val="00B857FA"/>
    <w:rsid w:val="00B86414"/>
    <w:rsid w:val="00B870F7"/>
    <w:rsid w:val="00B87D16"/>
    <w:rsid w:val="00B903F4"/>
    <w:rsid w:val="00B90DE7"/>
    <w:rsid w:val="00B92367"/>
    <w:rsid w:val="00B9247A"/>
    <w:rsid w:val="00B92AD5"/>
    <w:rsid w:val="00B9418A"/>
    <w:rsid w:val="00B948E0"/>
    <w:rsid w:val="00B955C1"/>
    <w:rsid w:val="00B95ABE"/>
    <w:rsid w:val="00B95B26"/>
    <w:rsid w:val="00B9618C"/>
    <w:rsid w:val="00BA020C"/>
    <w:rsid w:val="00BA121E"/>
    <w:rsid w:val="00BA1CDD"/>
    <w:rsid w:val="00BA21CA"/>
    <w:rsid w:val="00BA2835"/>
    <w:rsid w:val="00BA5DED"/>
    <w:rsid w:val="00BA64BD"/>
    <w:rsid w:val="00BA7632"/>
    <w:rsid w:val="00BA78D9"/>
    <w:rsid w:val="00BA78FD"/>
    <w:rsid w:val="00BA7FE1"/>
    <w:rsid w:val="00BB0811"/>
    <w:rsid w:val="00BB19C1"/>
    <w:rsid w:val="00BB1AAE"/>
    <w:rsid w:val="00BB1F72"/>
    <w:rsid w:val="00BB2175"/>
    <w:rsid w:val="00BB276F"/>
    <w:rsid w:val="00BB2D34"/>
    <w:rsid w:val="00BB2E48"/>
    <w:rsid w:val="00BB2EEF"/>
    <w:rsid w:val="00BB3F3E"/>
    <w:rsid w:val="00BB4826"/>
    <w:rsid w:val="00BB4B96"/>
    <w:rsid w:val="00BB659F"/>
    <w:rsid w:val="00BB7110"/>
    <w:rsid w:val="00BC00B8"/>
    <w:rsid w:val="00BC0863"/>
    <w:rsid w:val="00BC102E"/>
    <w:rsid w:val="00BC2092"/>
    <w:rsid w:val="00BC2EF7"/>
    <w:rsid w:val="00BC301D"/>
    <w:rsid w:val="00BC418D"/>
    <w:rsid w:val="00BC4BC5"/>
    <w:rsid w:val="00BC569A"/>
    <w:rsid w:val="00BC5746"/>
    <w:rsid w:val="00BC7440"/>
    <w:rsid w:val="00BC7A2B"/>
    <w:rsid w:val="00BD07CF"/>
    <w:rsid w:val="00BD0F5F"/>
    <w:rsid w:val="00BD2A76"/>
    <w:rsid w:val="00BD2E75"/>
    <w:rsid w:val="00BD2FBB"/>
    <w:rsid w:val="00BD326A"/>
    <w:rsid w:val="00BD36D6"/>
    <w:rsid w:val="00BD416C"/>
    <w:rsid w:val="00BD4446"/>
    <w:rsid w:val="00BD4811"/>
    <w:rsid w:val="00BD4CB4"/>
    <w:rsid w:val="00BD60F4"/>
    <w:rsid w:val="00BD67C3"/>
    <w:rsid w:val="00BD7B8C"/>
    <w:rsid w:val="00BE024C"/>
    <w:rsid w:val="00BE0C48"/>
    <w:rsid w:val="00BE16B1"/>
    <w:rsid w:val="00BE1A13"/>
    <w:rsid w:val="00BE39A4"/>
    <w:rsid w:val="00BE4254"/>
    <w:rsid w:val="00BE5C7E"/>
    <w:rsid w:val="00BE6032"/>
    <w:rsid w:val="00BE68A9"/>
    <w:rsid w:val="00BE7B1E"/>
    <w:rsid w:val="00BF0347"/>
    <w:rsid w:val="00BF1A9B"/>
    <w:rsid w:val="00BF1F1F"/>
    <w:rsid w:val="00BF2096"/>
    <w:rsid w:val="00BF3EF7"/>
    <w:rsid w:val="00BF3F56"/>
    <w:rsid w:val="00BF4116"/>
    <w:rsid w:val="00BF43F4"/>
    <w:rsid w:val="00BF4F29"/>
    <w:rsid w:val="00BF70B3"/>
    <w:rsid w:val="00BF7CA8"/>
    <w:rsid w:val="00C018FE"/>
    <w:rsid w:val="00C02328"/>
    <w:rsid w:val="00C02E9F"/>
    <w:rsid w:val="00C032D9"/>
    <w:rsid w:val="00C053B8"/>
    <w:rsid w:val="00C05ABF"/>
    <w:rsid w:val="00C0724F"/>
    <w:rsid w:val="00C0779C"/>
    <w:rsid w:val="00C07B28"/>
    <w:rsid w:val="00C07D50"/>
    <w:rsid w:val="00C105AA"/>
    <w:rsid w:val="00C10839"/>
    <w:rsid w:val="00C11511"/>
    <w:rsid w:val="00C11C8E"/>
    <w:rsid w:val="00C1304B"/>
    <w:rsid w:val="00C13909"/>
    <w:rsid w:val="00C13D29"/>
    <w:rsid w:val="00C14178"/>
    <w:rsid w:val="00C172BF"/>
    <w:rsid w:val="00C200A2"/>
    <w:rsid w:val="00C20728"/>
    <w:rsid w:val="00C20C44"/>
    <w:rsid w:val="00C2134D"/>
    <w:rsid w:val="00C21693"/>
    <w:rsid w:val="00C23023"/>
    <w:rsid w:val="00C242E1"/>
    <w:rsid w:val="00C257C9"/>
    <w:rsid w:val="00C25F54"/>
    <w:rsid w:val="00C266AA"/>
    <w:rsid w:val="00C326BC"/>
    <w:rsid w:val="00C338BD"/>
    <w:rsid w:val="00C33E3C"/>
    <w:rsid w:val="00C36D6C"/>
    <w:rsid w:val="00C36E9D"/>
    <w:rsid w:val="00C36F9D"/>
    <w:rsid w:val="00C404A9"/>
    <w:rsid w:val="00C4061D"/>
    <w:rsid w:val="00C41DF5"/>
    <w:rsid w:val="00C41F15"/>
    <w:rsid w:val="00C42266"/>
    <w:rsid w:val="00C423C3"/>
    <w:rsid w:val="00C42A76"/>
    <w:rsid w:val="00C455EC"/>
    <w:rsid w:val="00C458C1"/>
    <w:rsid w:val="00C45A2F"/>
    <w:rsid w:val="00C47E91"/>
    <w:rsid w:val="00C47FB7"/>
    <w:rsid w:val="00C5079D"/>
    <w:rsid w:val="00C509E0"/>
    <w:rsid w:val="00C50A8F"/>
    <w:rsid w:val="00C50FF0"/>
    <w:rsid w:val="00C543B8"/>
    <w:rsid w:val="00C559DD"/>
    <w:rsid w:val="00C569E0"/>
    <w:rsid w:val="00C57110"/>
    <w:rsid w:val="00C57AF6"/>
    <w:rsid w:val="00C57BD7"/>
    <w:rsid w:val="00C6293F"/>
    <w:rsid w:val="00C62E78"/>
    <w:rsid w:val="00C647AA"/>
    <w:rsid w:val="00C64A9D"/>
    <w:rsid w:val="00C64E6D"/>
    <w:rsid w:val="00C66821"/>
    <w:rsid w:val="00C66C8B"/>
    <w:rsid w:val="00C7036C"/>
    <w:rsid w:val="00C704D8"/>
    <w:rsid w:val="00C7065A"/>
    <w:rsid w:val="00C73750"/>
    <w:rsid w:val="00C75158"/>
    <w:rsid w:val="00C7615F"/>
    <w:rsid w:val="00C764AD"/>
    <w:rsid w:val="00C811D8"/>
    <w:rsid w:val="00C81537"/>
    <w:rsid w:val="00C81D36"/>
    <w:rsid w:val="00C82046"/>
    <w:rsid w:val="00C821CE"/>
    <w:rsid w:val="00C8261C"/>
    <w:rsid w:val="00C8372E"/>
    <w:rsid w:val="00C84267"/>
    <w:rsid w:val="00C85384"/>
    <w:rsid w:val="00C90CFE"/>
    <w:rsid w:val="00C91886"/>
    <w:rsid w:val="00C936CA"/>
    <w:rsid w:val="00C9419F"/>
    <w:rsid w:val="00C95B9C"/>
    <w:rsid w:val="00C96172"/>
    <w:rsid w:val="00C9702D"/>
    <w:rsid w:val="00CA1342"/>
    <w:rsid w:val="00CA142A"/>
    <w:rsid w:val="00CA2C23"/>
    <w:rsid w:val="00CA43D3"/>
    <w:rsid w:val="00CA46D7"/>
    <w:rsid w:val="00CA4A52"/>
    <w:rsid w:val="00CA4B42"/>
    <w:rsid w:val="00CA58A3"/>
    <w:rsid w:val="00CA5E85"/>
    <w:rsid w:val="00CA60B9"/>
    <w:rsid w:val="00CA7325"/>
    <w:rsid w:val="00CA740D"/>
    <w:rsid w:val="00CA7DC0"/>
    <w:rsid w:val="00CA7E3F"/>
    <w:rsid w:val="00CB0729"/>
    <w:rsid w:val="00CB1AB1"/>
    <w:rsid w:val="00CB2377"/>
    <w:rsid w:val="00CB33E0"/>
    <w:rsid w:val="00CB3855"/>
    <w:rsid w:val="00CB5C0D"/>
    <w:rsid w:val="00CB60B7"/>
    <w:rsid w:val="00CB6276"/>
    <w:rsid w:val="00CB6E52"/>
    <w:rsid w:val="00CB71EF"/>
    <w:rsid w:val="00CB742A"/>
    <w:rsid w:val="00CB74A3"/>
    <w:rsid w:val="00CC12BA"/>
    <w:rsid w:val="00CC18CA"/>
    <w:rsid w:val="00CC259A"/>
    <w:rsid w:val="00CC2B83"/>
    <w:rsid w:val="00CC3703"/>
    <w:rsid w:val="00CC3986"/>
    <w:rsid w:val="00CC3D9D"/>
    <w:rsid w:val="00CC3DD9"/>
    <w:rsid w:val="00CC497E"/>
    <w:rsid w:val="00CC568C"/>
    <w:rsid w:val="00CC66CF"/>
    <w:rsid w:val="00CC7292"/>
    <w:rsid w:val="00CD07B0"/>
    <w:rsid w:val="00CD0BA8"/>
    <w:rsid w:val="00CD0C6B"/>
    <w:rsid w:val="00CD112B"/>
    <w:rsid w:val="00CD2413"/>
    <w:rsid w:val="00CD2579"/>
    <w:rsid w:val="00CD29A5"/>
    <w:rsid w:val="00CD3885"/>
    <w:rsid w:val="00CD401E"/>
    <w:rsid w:val="00CD485C"/>
    <w:rsid w:val="00CD51CC"/>
    <w:rsid w:val="00CD5368"/>
    <w:rsid w:val="00CD5738"/>
    <w:rsid w:val="00CD5A78"/>
    <w:rsid w:val="00CE008D"/>
    <w:rsid w:val="00CE0B5D"/>
    <w:rsid w:val="00CE27D2"/>
    <w:rsid w:val="00CE3517"/>
    <w:rsid w:val="00CE3680"/>
    <w:rsid w:val="00CE44F2"/>
    <w:rsid w:val="00CE56B2"/>
    <w:rsid w:val="00CE6B0A"/>
    <w:rsid w:val="00CF0F46"/>
    <w:rsid w:val="00CF25A8"/>
    <w:rsid w:val="00CF2F2B"/>
    <w:rsid w:val="00CF3F5D"/>
    <w:rsid w:val="00CF4921"/>
    <w:rsid w:val="00CF4EF2"/>
    <w:rsid w:val="00CF7BA4"/>
    <w:rsid w:val="00D01963"/>
    <w:rsid w:val="00D01C72"/>
    <w:rsid w:val="00D031D0"/>
    <w:rsid w:val="00D0331D"/>
    <w:rsid w:val="00D048FE"/>
    <w:rsid w:val="00D06DE7"/>
    <w:rsid w:val="00D0760F"/>
    <w:rsid w:val="00D07CE3"/>
    <w:rsid w:val="00D105BD"/>
    <w:rsid w:val="00D107BA"/>
    <w:rsid w:val="00D11D6F"/>
    <w:rsid w:val="00D12AB6"/>
    <w:rsid w:val="00D132B6"/>
    <w:rsid w:val="00D13C23"/>
    <w:rsid w:val="00D142ED"/>
    <w:rsid w:val="00D162F5"/>
    <w:rsid w:val="00D1638D"/>
    <w:rsid w:val="00D16967"/>
    <w:rsid w:val="00D16C85"/>
    <w:rsid w:val="00D170F9"/>
    <w:rsid w:val="00D173CB"/>
    <w:rsid w:val="00D178D8"/>
    <w:rsid w:val="00D20A6C"/>
    <w:rsid w:val="00D20B0F"/>
    <w:rsid w:val="00D2147B"/>
    <w:rsid w:val="00D231DF"/>
    <w:rsid w:val="00D278D5"/>
    <w:rsid w:val="00D27E90"/>
    <w:rsid w:val="00D309B1"/>
    <w:rsid w:val="00D30F3E"/>
    <w:rsid w:val="00D31351"/>
    <w:rsid w:val="00D322D1"/>
    <w:rsid w:val="00D33E1B"/>
    <w:rsid w:val="00D34FAD"/>
    <w:rsid w:val="00D35C7C"/>
    <w:rsid w:val="00D374D2"/>
    <w:rsid w:val="00D375F7"/>
    <w:rsid w:val="00D37F49"/>
    <w:rsid w:val="00D40787"/>
    <w:rsid w:val="00D40FC1"/>
    <w:rsid w:val="00D41BD1"/>
    <w:rsid w:val="00D42855"/>
    <w:rsid w:val="00D42FEB"/>
    <w:rsid w:val="00D437E3"/>
    <w:rsid w:val="00D43A9B"/>
    <w:rsid w:val="00D4583C"/>
    <w:rsid w:val="00D46540"/>
    <w:rsid w:val="00D479E3"/>
    <w:rsid w:val="00D510CE"/>
    <w:rsid w:val="00D5220D"/>
    <w:rsid w:val="00D52967"/>
    <w:rsid w:val="00D540DA"/>
    <w:rsid w:val="00D550D6"/>
    <w:rsid w:val="00D552A4"/>
    <w:rsid w:val="00D609A9"/>
    <w:rsid w:val="00D60C3D"/>
    <w:rsid w:val="00D61682"/>
    <w:rsid w:val="00D61984"/>
    <w:rsid w:val="00D61AE6"/>
    <w:rsid w:val="00D61DA8"/>
    <w:rsid w:val="00D63146"/>
    <w:rsid w:val="00D63A45"/>
    <w:rsid w:val="00D65E50"/>
    <w:rsid w:val="00D6673C"/>
    <w:rsid w:val="00D67388"/>
    <w:rsid w:val="00D673FD"/>
    <w:rsid w:val="00D678B1"/>
    <w:rsid w:val="00D71060"/>
    <w:rsid w:val="00D719E3"/>
    <w:rsid w:val="00D7344C"/>
    <w:rsid w:val="00D735CB"/>
    <w:rsid w:val="00D73942"/>
    <w:rsid w:val="00D73C06"/>
    <w:rsid w:val="00D7456A"/>
    <w:rsid w:val="00D7497F"/>
    <w:rsid w:val="00D74E5F"/>
    <w:rsid w:val="00D7595E"/>
    <w:rsid w:val="00D77231"/>
    <w:rsid w:val="00D7738A"/>
    <w:rsid w:val="00D80EC8"/>
    <w:rsid w:val="00D825D2"/>
    <w:rsid w:val="00D839BA"/>
    <w:rsid w:val="00D84677"/>
    <w:rsid w:val="00D84E3C"/>
    <w:rsid w:val="00D8513F"/>
    <w:rsid w:val="00D85687"/>
    <w:rsid w:val="00D85C6C"/>
    <w:rsid w:val="00D872B2"/>
    <w:rsid w:val="00D903B9"/>
    <w:rsid w:val="00D91069"/>
    <w:rsid w:val="00D92296"/>
    <w:rsid w:val="00D94D23"/>
    <w:rsid w:val="00D95F1C"/>
    <w:rsid w:val="00D96388"/>
    <w:rsid w:val="00D96932"/>
    <w:rsid w:val="00D96E76"/>
    <w:rsid w:val="00D97896"/>
    <w:rsid w:val="00DA0061"/>
    <w:rsid w:val="00DA0501"/>
    <w:rsid w:val="00DA1900"/>
    <w:rsid w:val="00DA1AF0"/>
    <w:rsid w:val="00DA1B68"/>
    <w:rsid w:val="00DA298B"/>
    <w:rsid w:val="00DA3B45"/>
    <w:rsid w:val="00DA3CF8"/>
    <w:rsid w:val="00DA57B8"/>
    <w:rsid w:val="00DA5836"/>
    <w:rsid w:val="00DA5EAE"/>
    <w:rsid w:val="00DA7A9B"/>
    <w:rsid w:val="00DA7C95"/>
    <w:rsid w:val="00DB0042"/>
    <w:rsid w:val="00DB06A1"/>
    <w:rsid w:val="00DB0F67"/>
    <w:rsid w:val="00DB211A"/>
    <w:rsid w:val="00DB260C"/>
    <w:rsid w:val="00DB3AFC"/>
    <w:rsid w:val="00DB3C02"/>
    <w:rsid w:val="00DB3E0B"/>
    <w:rsid w:val="00DB458B"/>
    <w:rsid w:val="00DB69C8"/>
    <w:rsid w:val="00DB6CE9"/>
    <w:rsid w:val="00DB74D3"/>
    <w:rsid w:val="00DC0340"/>
    <w:rsid w:val="00DC03F9"/>
    <w:rsid w:val="00DC0A9A"/>
    <w:rsid w:val="00DC0F2C"/>
    <w:rsid w:val="00DC2511"/>
    <w:rsid w:val="00DC37B7"/>
    <w:rsid w:val="00DC4321"/>
    <w:rsid w:val="00DD0C9F"/>
    <w:rsid w:val="00DD0DC9"/>
    <w:rsid w:val="00DD11C4"/>
    <w:rsid w:val="00DD15BF"/>
    <w:rsid w:val="00DD1E13"/>
    <w:rsid w:val="00DD2BF1"/>
    <w:rsid w:val="00DD336B"/>
    <w:rsid w:val="00DD337C"/>
    <w:rsid w:val="00DD3512"/>
    <w:rsid w:val="00DD591F"/>
    <w:rsid w:val="00DD6220"/>
    <w:rsid w:val="00DD6278"/>
    <w:rsid w:val="00DD6989"/>
    <w:rsid w:val="00DE0187"/>
    <w:rsid w:val="00DE0826"/>
    <w:rsid w:val="00DE185C"/>
    <w:rsid w:val="00DE2753"/>
    <w:rsid w:val="00DE27E9"/>
    <w:rsid w:val="00DE408C"/>
    <w:rsid w:val="00DE4603"/>
    <w:rsid w:val="00DE61AA"/>
    <w:rsid w:val="00DE6B07"/>
    <w:rsid w:val="00DE6EF2"/>
    <w:rsid w:val="00DF038C"/>
    <w:rsid w:val="00DF174D"/>
    <w:rsid w:val="00DF17FA"/>
    <w:rsid w:val="00DF18A8"/>
    <w:rsid w:val="00DF2B20"/>
    <w:rsid w:val="00DF2FA7"/>
    <w:rsid w:val="00DF43D7"/>
    <w:rsid w:val="00DF465F"/>
    <w:rsid w:val="00DF4C18"/>
    <w:rsid w:val="00DF5AD1"/>
    <w:rsid w:val="00DF76BF"/>
    <w:rsid w:val="00E0022A"/>
    <w:rsid w:val="00E01332"/>
    <w:rsid w:val="00E0166C"/>
    <w:rsid w:val="00E02B5D"/>
    <w:rsid w:val="00E03017"/>
    <w:rsid w:val="00E0312D"/>
    <w:rsid w:val="00E0323E"/>
    <w:rsid w:val="00E03737"/>
    <w:rsid w:val="00E048B0"/>
    <w:rsid w:val="00E06274"/>
    <w:rsid w:val="00E10ED4"/>
    <w:rsid w:val="00E11212"/>
    <w:rsid w:val="00E11D28"/>
    <w:rsid w:val="00E12454"/>
    <w:rsid w:val="00E133CF"/>
    <w:rsid w:val="00E1354C"/>
    <w:rsid w:val="00E14090"/>
    <w:rsid w:val="00E143CD"/>
    <w:rsid w:val="00E14F9A"/>
    <w:rsid w:val="00E158E8"/>
    <w:rsid w:val="00E15EB0"/>
    <w:rsid w:val="00E16A72"/>
    <w:rsid w:val="00E17B58"/>
    <w:rsid w:val="00E20848"/>
    <w:rsid w:val="00E21362"/>
    <w:rsid w:val="00E21733"/>
    <w:rsid w:val="00E225BC"/>
    <w:rsid w:val="00E226BA"/>
    <w:rsid w:val="00E22DCE"/>
    <w:rsid w:val="00E22E74"/>
    <w:rsid w:val="00E23FAF"/>
    <w:rsid w:val="00E25B77"/>
    <w:rsid w:val="00E2664B"/>
    <w:rsid w:val="00E27199"/>
    <w:rsid w:val="00E30894"/>
    <w:rsid w:val="00E30E03"/>
    <w:rsid w:val="00E3106D"/>
    <w:rsid w:val="00E3127A"/>
    <w:rsid w:val="00E31835"/>
    <w:rsid w:val="00E328D3"/>
    <w:rsid w:val="00E33586"/>
    <w:rsid w:val="00E33F1A"/>
    <w:rsid w:val="00E34475"/>
    <w:rsid w:val="00E34DE5"/>
    <w:rsid w:val="00E35226"/>
    <w:rsid w:val="00E3549F"/>
    <w:rsid w:val="00E35625"/>
    <w:rsid w:val="00E3696D"/>
    <w:rsid w:val="00E36A83"/>
    <w:rsid w:val="00E37684"/>
    <w:rsid w:val="00E37F45"/>
    <w:rsid w:val="00E401B0"/>
    <w:rsid w:val="00E40376"/>
    <w:rsid w:val="00E405C5"/>
    <w:rsid w:val="00E41462"/>
    <w:rsid w:val="00E414AC"/>
    <w:rsid w:val="00E41D11"/>
    <w:rsid w:val="00E434B9"/>
    <w:rsid w:val="00E44C1E"/>
    <w:rsid w:val="00E45083"/>
    <w:rsid w:val="00E45F17"/>
    <w:rsid w:val="00E47FB9"/>
    <w:rsid w:val="00E507EB"/>
    <w:rsid w:val="00E50A14"/>
    <w:rsid w:val="00E50F72"/>
    <w:rsid w:val="00E52C1A"/>
    <w:rsid w:val="00E52C84"/>
    <w:rsid w:val="00E53AB2"/>
    <w:rsid w:val="00E53C5F"/>
    <w:rsid w:val="00E53CD9"/>
    <w:rsid w:val="00E54236"/>
    <w:rsid w:val="00E54B50"/>
    <w:rsid w:val="00E57C54"/>
    <w:rsid w:val="00E6093B"/>
    <w:rsid w:val="00E60CE7"/>
    <w:rsid w:val="00E61842"/>
    <w:rsid w:val="00E62643"/>
    <w:rsid w:val="00E62F05"/>
    <w:rsid w:val="00E63006"/>
    <w:rsid w:val="00E63649"/>
    <w:rsid w:val="00E675C8"/>
    <w:rsid w:val="00E713AF"/>
    <w:rsid w:val="00E75056"/>
    <w:rsid w:val="00E76EFA"/>
    <w:rsid w:val="00E76F59"/>
    <w:rsid w:val="00E77ACE"/>
    <w:rsid w:val="00E80EAB"/>
    <w:rsid w:val="00E80FD5"/>
    <w:rsid w:val="00E815F1"/>
    <w:rsid w:val="00E83698"/>
    <w:rsid w:val="00E836F6"/>
    <w:rsid w:val="00E83F02"/>
    <w:rsid w:val="00E84E91"/>
    <w:rsid w:val="00E86450"/>
    <w:rsid w:val="00E86B38"/>
    <w:rsid w:val="00E87365"/>
    <w:rsid w:val="00E8760C"/>
    <w:rsid w:val="00E90FBE"/>
    <w:rsid w:val="00E916A9"/>
    <w:rsid w:val="00E917CB"/>
    <w:rsid w:val="00E91C38"/>
    <w:rsid w:val="00E9331F"/>
    <w:rsid w:val="00E93CAF"/>
    <w:rsid w:val="00E94351"/>
    <w:rsid w:val="00E94472"/>
    <w:rsid w:val="00E94C8F"/>
    <w:rsid w:val="00E962DF"/>
    <w:rsid w:val="00E9650B"/>
    <w:rsid w:val="00EA0469"/>
    <w:rsid w:val="00EA0999"/>
    <w:rsid w:val="00EA1874"/>
    <w:rsid w:val="00EA1EDF"/>
    <w:rsid w:val="00EA2BBA"/>
    <w:rsid w:val="00EA2D60"/>
    <w:rsid w:val="00EA39EA"/>
    <w:rsid w:val="00EA3AA5"/>
    <w:rsid w:val="00EA4C67"/>
    <w:rsid w:val="00EA505B"/>
    <w:rsid w:val="00EA58F8"/>
    <w:rsid w:val="00EA597A"/>
    <w:rsid w:val="00EA5EE6"/>
    <w:rsid w:val="00EA6168"/>
    <w:rsid w:val="00EA62DE"/>
    <w:rsid w:val="00EA7A33"/>
    <w:rsid w:val="00EA7D5D"/>
    <w:rsid w:val="00EB019E"/>
    <w:rsid w:val="00EB0213"/>
    <w:rsid w:val="00EB076C"/>
    <w:rsid w:val="00EB0BFF"/>
    <w:rsid w:val="00EB10BD"/>
    <w:rsid w:val="00EB169B"/>
    <w:rsid w:val="00EB19BE"/>
    <w:rsid w:val="00EB2558"/>
    <w:rsid w:val="00EB35BC"/>
    <w:rsid w:val="00EB4AF6"/>
    <w:rsid w:val="00EB4C2E"/>
    <w:rsid w:val="00EB6526"/>
    <w:rsid w:val="00EB6AE0"/>
    <w:rsid w:val="00EB6AE7"/>
    <w:rsid w:val="00EB772B"/>
    <w:rsid w:val="00EB78A0"/>
    <w:rsid w:val="00EB7E6E"/>
    <w:rsid w:val="00EC1475"/>
    <w:rsid w:val="00EC16E9"/>
    <w:rsid w:val="00EC1D1C"/>
    <w:rsid w:val="00EC2023"/>
    <w:rsid w:val="00EC23A6"/>
    <w:rsid w:val="00EC410C"/>
    <w:rsid w:val="00EC5F2B"/>
    <w:rsid w:val="00EC6B0F"/>
    <w:rsid w:val="00ED139B"/>
    <w:rsid w:val="00ED3BCE"/>
    <w:rsid w:val="00ED4D6E"/>
    <w:rsid w:val="00ED4FE7"/>
    <w:rsid w:val="00ED5990"/>
    <w:rsid w:val="00ED6004"/>
    <w:rsid w:val="00ED7664"/>
    <w:rsid w:val="00ED7D10"/>
    <w:rsid w:val="00EE002D"/>
    <w:rsid w:val="00EE0F15"/>
    <w:rsid w:val="00EE153A"/>
    <w:rsid w:val="00EE1568"/>
    <w:rsid w:val="00EE1A3A"/>
    <w:rsid w:val="00EE1E21"/>
    <w:rsid w:val="00EE2666"/>
    <w:rsid w:val="00EE324D"/>
    <w:rsid w:val="00EE3779"/>
    <w:rsid w:val="00EE6091"/>
    <w:rsid w:val="00EE6496"/>
    <w:rsid w:val="00EE714D"/>
    <w:rsid w:val="00EE754E"/>
    <w:rsid w:val="00EE79FE"/>
    <w:rsid w:val="00EF12EA"/>
    <w:rsid w:val="00EF51C9"/>
    <w:rsid w:val="00EF58EA"/>
    <w:rsid w:val="00EF68CE"/>
    <w:rsid w:val="00EF7F65"/>
    <w:rsid w:val="00F01001"/>
    <w:rsid w:val="00F0174A"/>
    <w:rsid w:val="00F04519"/>
    <w:rsid w:val="00F0471C"/>
    <w:rsid w:val="00F05B63"/>
    <w:rsid w:val="00F07AEF"/>
    <w:rsid w:val="00F07EB2"/>
    <w:rsid w:val="00F10CA4"/>
    <w:rsid w:val="00F1135E"/>
    <w:rsid w:val="00F11BB0"/>
    <w:rsid w:val="00F12358"/>
    <w:rsid w:val="00F12E07"/>
    <w:rsid w:val="00F13C70"/>
    <w:rsid w:val="00F14B2C"/>
    <w:rsid w:val="00F15512"/>
    <w:rsid w:val="00F16B7E"/>
    <w:rsid w:val="00F17372"/>
    <w:rsid w:val="00F17DB5"/>
    <w:rsid w:val="00F20006"/>
    <w:rsid w:val="00F202A4"/>
    <w:rsid w:val="00F2038C"/>
    <w:rsid w:val="00F20FD2"/>
    <w:rsid w:val="00F2142E"/>
    <w:rsid w:val="00F21CB3"/>
    <w:rsid w:val="00F22737"/>
    <w:rsid w:val="00F23052"/>
    <w:rsid w:val="00F24378"/>
    <w:rsid w:val="00F249D7"/>
    <w:rsid w:val="00F2702E"/>
    <w:rsid w:val="00F2722D"/>
    <w:rsid w:val="00F27451"/>
    <w:rsid w:val="00F27F79"/>
    <w:rsid w:val="00F30017"/>
    <w:rsid w:val="00F30B33"/>
    <w:rsid w:val="00F30D9C"/>
    <w:rsid w:val="00F32372"/>
    <w:rsid w:val="00F32D50"/>
    <w:rsid w:val="00F33EF4"/>
    <w:rsid w:val="00F34569"/>
    <w:rsid w:val="00F36105"/>
    <w:rsid w:val="00F3714A"/>
    <w:rsid w:val="00F37445"/>
    <w:rsid w:val="00F37C6E"/>
    <w:rsid w:val="00F40C5A"/>
    <w:rsid w:val="00F41DF2"/>
    <w:rsid w:val="00F425CD"/>
    <w:rsid w:val="00F42699"/>
    <w:rsid w:val="00F42D52"/>
    <w:rsid w:val="00F43DB2"/>
    <w:rsid w:val="00F45535"/>
    <w:rsid w:val="00F50D25"/>
    <w:rsid w:val="00F51137"/>
    <w:rsid w:val="00F512FD"/>
    <w:rsid w:val="00F526F7"/>
    <w:rsid w:val="00F53466"/>
    <w:rsid w:val="00F53485"/>
    <w:rsid w:val="00F534BA"/>
    <w:rsid w:val="00F53A1E"/>
    <w:rsid w:val="00F54094"/>
    <w:rsid w:val="00F54FD1"/>
    <w:rsid w:val="00F551FC"/>
    <w:rsid w:val="00F55DDA"/>
    <w:rsid w:val="00F55F9F"/>
    <w:rsid w:val="00F5624A"/>
    <w:rsid w:val="00F5636C"/>
    <w:rsid w:val="00F563A1"/>
    <w:rsid w:val="00F5656D"/>
    <w:rsid w:val="00F56B4F"/>
    <w:rsid w:val="00F57341"/>
    <w:rsid w:val="00F5737D"/>
    <w:rsid w:val="00F61D59"/>
    <w:rsid w:val="00F61D79"/>
    <w:rsid w:val="00F626B3"/>
    <w:rsid w:val="00F6279D"/>
    <w:rsid w:val="00F632BA"/>
    <w:rsid w:val="00F64E28"/>
    <w:rsid w:val="00F64F99"/>
    <w:rsid w:val="00F65F20"/>
    <w:rsid w:val="00F66210"/>
    <w:rsid w:val="00F668D3"/>
    <w:rsid w:val="00F71771"/>
    <w:rsid w:val="00F717B9"/>
    <w:rsid w:val="00F721A5"/>
    <w:rsid w:val="00F7234D"/>
    <w:rsid w:val="00F72A5D"/>
    <w:rsid w:val="00F72F3A"/>
    <w:rsid w:val="00F73324"/>
    <w:rsid w:val="00F74CC2"/>
    <w:rsid w:val="00F75621"/>
    <w:rsid w:val="00F75942"/>
    <w:rsid w:val="00F75CA8"/>
    <w:rsid w:val="00F77FB1"/>
    <w:rsid w:val="00F8070C"/>
    <w:rsid w:val="00F82DD2"/>
    <w:rsid w:val="00F8351C"/>
    <w:rsid w:val="00F83F57"/>
    <w:rsid w:val="00F8500A"/>
    <w:rsid w:val="00F8514F"/>
    <w:rsid w:val="00F85377"/>
    <w:rsid w:val="00F85D8B"/>
    <w:rsid w:val="00F87644"/>
    <w:rsid w:val="00F903E0"/>
    <w:rsid w:val="00F90567"/>
    <w:rsid w:val="00F90EF4"/>
    <w:rsid w:val="00F91DA4"/>
    <w:rsid w:val="00F92EA2"/>
    <w:rsid w:val="00F933C0"/>
    <w:rsid w:val="00F93D52"/>
    <w:rsid w:val="00F9455E"/>
    <w:rsid w:val="00F948E5"/>
    <w:rsid w:val="00F955A1"/>
    <w:rsid w:val="00F95836"/>
    <w:rsid w:val="00F963C6"/>
    <w:rsid w:val="00F96E81"/>
    <w:rsid w:val="00F96EA0"/>
    <w:rsid w:val="00F96F33"/>
    <w:rsid w:val="00F972C9"/>
    <w:rsid w:val="00F97631"/>
    <w:rsid w:val="00F977A3"/>
    <w:rsid w:val="00FA074B"/>
    <w:rsid w:val="00FA0ABF"/>
    <w:rsid w:val="00FA0CBE"/>
    <w:rsid w:val="00FA0D89"/>
    <w:rsid w:val="00FA2A41"/>
    <w:rsid w:val="00FA2BDA"/>
    <w:rsid w:val="00FA41E1"/>
    <w:rsid w:val="00FA4D2B"/>
    <w:rsid w:val="00FA525D"/>
    <w:rsid w:val="00FA60F2"/>
    <w:rsid w:val="00FA6CAC"/>
    <w:rsid w:val="00FA7A01"/>
    <w:rsid w:val="00FB00A3"/>
    <w:rsid w:val="00FB3127"/>
    <w:rsid w:val="00FB3DB3"/>
    <w:rsid w:val="00FB4593"/>
    <w:rsid w:val="00FB4915"/>
    <w:rsid w:val="00FB5140"/>
    <w:rsid w:val="00FB589E"/>
    <w:rsid w:val="00FB6B86"/>
    <w:rsid w:val="00FB6D9C"/>
    <w:rsid w:val="00FB7C9D"/>
    <w:rsid w:val="00FC0B28"/>
    <w:rsid w:val="00FC0B82"/>
    <w:rsid w:val="00FC1510"/>
    <w:rsid w:val="00FC32F4"/>
    <w:rsid w:val="00FC578F"/>
    <w:rsid w:val="00FC60BB"/>
    <w:rsid w:val="00FC6566"/>
    <w:rsid w:val="00FD0825"/>
    <w:rsid w:val="00FD15D4"/>
    <w:rsid w:val="00FD25A5"/>
    <w:rsid w:val="00FD4485"/>
    <w:rsid w:val="00FD4EAD"/>
    <w:rsid w:val="00FD52F4"/>
    <w:rsid w:val="00FD5497"/>
    <w:rsid w:val="00FD64DC"/>
    <w:rsid w:val="00FD7860"/>
    <w:rsid w:val="00FD7A06"/>
    <w:rsid w:val="00FD7C6B"/>
    <w:rsid w:val="00FE1626"/>
    <w:rsid w:val="00FE1706"/>
    <w:rsid w:val="00FE19E4"/>
    <w:rsid w:val="00FE1AC5"/>
    <w:rsid w:val="00FE2040"/>
    <w:rsid w:val="00FE4038"/>
    <w:rsid w:val="00FE4844"/>
    <w:rsid w:val="00FE4F04"/>
    <w:rsid w:val="00FE5226"/>
    <w:rsid w:val="00FE5FB8"/>
    <w:rsid w:val="00FE77B9"/>
    <w:rsid w:val="00FE78EA"/>
    <w:rsid w:val="00FF26DA"/>
    <w:rsid w:val="00FF2B6B"/>
    <w:rsid w:val="00FF3361"/>
    <w:rsid w:val="00FF38D4"/>
    <w:rsid w:val="00FF4ADF"/>
    <w:rsid w:val="00FF4FF1"/>
    <w:rsid w:val="00FF5236"/>
    <w:rsid w:val="00FF65B6"/>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75EE0"/>
  <w15:docId w15:val="{47D88F64-0FE6-4A7C-81C0-9B4A3655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234D"/>
    <w:rPr>
      <w:sz w:val="24"/>
      <w:szCs w:val="24"/>
      <w:lang w:eastAsia="en-US"/>
    </w:rPr>
  </w:style>
  <w:style w:type="paragraph" w:styleId="Ttulo1">
    <w:name w:val="heading 1"/>
    <w:basedOn w:val="Normal"/>
    <w:next w:val="Normal"/>
    <w:qFormat/>
    <w:rsid w:val="0054574A"/>
    <w:pPr>
      <w:keepNext/>
      <w:suppressAutoHyphens/>
      <w:jc w:val="center"/>
      <w:outlineLvl w:val="0"/>
    </w:pPr>
    <w:rPr>
      <w:b/>
      <w:bCs/>
      <w:spacing w:val="-3"/>
      <w:szCs w:val="20"/>
      <w:lang w:eastAsia="es-ES" w:bidi="he-IL"/>
    </w:rPr>
  </w:style>
  <w:style w:type="paragraph" w:styleId="Ttulo2">
    <w:name w:val="heading 2"/>
    <w:basedOn w:val="Normal"/>
    <w:next w:val="Normal"/>
    <w:qFormat/>
    <w:rsid w:val="0054574A"/>
    <w:pPr>
      <w:keepNext/>
      <w:suppressAutoHyphens/>
      <w:jc w:val="center"/>
      <w:outlineLvl w:val="1"/>
    </w:pPr>
    <w:rPr>
      <w:rFonts w:ascii="Courier New" w:hAnsi="Courier New"/>
      <w:b/>
      <w:bCs/>
      <w:sz w:val="28"/>
      <w:szCs w:val="20"/>
      <w:lang w:eastAsia="es-ES" w:bidi="he-IL"/>
    </w:rPr>
  </w:style>
  <w:style w:type="paragraph" w:styleId="Ttulo3">
    <w:name w:val="heading 3"/>
    <w:basedOn w:val="Normal"/>
    <w:next w:val="Normal"/>
    <w:qFormat/>
    <w:rsid w:val="0054574A"/>
    <w:pPr>
      <w:keepNext/>
      <w:ind w:left="540" w:right="589"/>
      <w:jc w:val="center"/>
      <w:outlineLvl w:val="2"/>
    </w:pPr>
    <w:rPr>
      <w:rFonts w:ascii="Garamond" w:hAnsi="Garamond" w:cs="Arial"/>
      <w:b/>
      <w:bCs/>
      <w:iCs/>
      <w:lang w:eastAsia="es-ES" w:bidi="he-IL"/>
    </w:rPr>
  </w:style>
  <w:style w:type="paragraph" w:styleId="Ttulo4">
    <w:name w:val="heading 4"/>
    <w:basedOn w:val="Normal"/>
    <w:next w:val="Normal"/>
    <w:qFormat/>
    <w:rsid w:val="0054574A"/>
    <w:pPr>
      <w:keepNext/>
      <w:spacing w:before="240" w:after="60"/>
      <w:outlineLvl w:val="3"/>
    </w:pPr>
    <w:rPr>
      <w:b/>
      <w:bCs/>
      <w:sz w:val="28"/>
      <w:szCs w:val="28"/>
      <w:lang w:val="en-US"/>
    </w:rPr>
  </w:style>
  <w:style w:type="paragraph" w:styleId="Ttulo5">
    <w:name w:val="heading 5"/>
    <w:basedOn w:val="Normal"/>
    <w:next w:val="Normal"/>
    <w:qFormat/>
    <w:rsid w:val="0054574A"/>
    <w:pPr>
      <w:spacing w:before="240" w:after="60"/>
      <w:outlineLvl w:val="4"/>
    </w:pPr>
    <w:rPr>
      <w:b/>
      <w:bCs/>
      <w:i/>
      <w:iCs/>
      <w:sz w:val="26"/>
      <w:szCs w:val="26"/>
      <w:lang w:val="en-US"/>
    </w:rPr>
  </w:style>
  <w:style w:type="paragraph" w:styleId="Ttulo6">
    <w:name w:val="heading 6"/>
    <w:basedOn w:val="Normal"/>
    <w:next w:val="Normal"/>
    <w:qFormat/>
    <w:rsid w:val="0054574A"/>
    <w:pPr>
      <w:keepNext/>
      <w:ind w:left="-360" w:right="-714"/>
      <w:jc w:val="center"/>
      <w:outlineLvl w:val="5"/>
    </w:pPr>
    <w:rPr>
      <w:rFonts w:ascii="Garamond" w:hAnsi="Garamond" w:cs="Arial"/>
      <w:b/>
      <w:bCs/>
      <w:sz w:val="14"/>
      <w:szCs w:val="14"/>
      <w:lang w:val="es-AR" w:eastAsia="es-ES" w:bidi="he-IL"/>
    </w:rPr>
  </w:style>
  <w:style w:type="paragraph" w:styleId="Ttulo7">
    <w:name w:val="heading 7"/>
    <w:basedOn w:val="Normal"/>
    <w:next w:val="Normal"/>
    <w:qFormat/>
    <w:rsid w:val="0054574A"/>
    <w:pPr>
      <w:keepNext/>
      <w:ind w:left="-180" w:right="-714"/>
      <w:jc w:val="center"/>
      <w:outlineLvl w:val="6"/>
    </w:pPr>
    <w:rPr>
      <w:rFonts w:ascii="Garamond" w:hAnsi="Garamond" w:cs="Arial"/>
      <w:b/>
      <w:sz w:val="18"/>
      <w:szCs w:val="16"/>
      <w:lang w:val="es-AR" w:eastAsia="es-ES" w:bidi="he-IL"/>
    </w:rPr>
  </w:style>
  <w:style w:type="paragraph" w:styleId="Ttulo8">
    <w:name w:val="heading 8"/>
    <w:basedOn w:val="Normal"/>
    <w:next w:val="Normal"/>
    <w:qFormat/>
    <w:rsid w:val="0054574A"/>
    <w:pPr>
      <w:keepNext/>
      <w:ind w:left="-360" w:right="-714"/>
      <w:jc w:val="center"/>
      <w:outlineLvl w:val="7"/>
    </w:pPr>
    <w:rPr>
      <w:rFonts w:ascii="Garamond" w:hAnsi="Garamond" w:cs="Arial"/>
      <w:b/>
      <w:bCs/>
      <w:sz w:val="18"/>
      <w:szCs w:val="14"/>
      <w:lang w:val="es-AR" w:eastAsia="es-ES" w:bidi="he-IL"/>
    </w:rPr>
  </w:style>
  <w:style w:type="paragraph" w:styleId="Ttulo9">
    <w:name w:val="heading 9"/>
    <w:basedOn w:val="Normal"/>
    <w:next w:val="Normal"/>
    <w:qFormat/>
    <w:rsid w:val="0054574A"/>
    <w:pPr>
      <w:keepNext/>
      <w:jc w:val="center"/>
      <w:outlineLvl w:val="8"/>
    </w:pPr>
    <w:rPr>
      <w:b/>
      <w:bCs/>
      <w:sz w:val="20"/>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54574A"/>
    <w:rPr>
      <w:color w:val="0000FF"/>
      <w:u w:val="single"/>
    </w:rPr>
  </w:style>
  <w:style w:type="character" w:styleId="Hipervnculovisitado">
    <w:name w:val="FollowedHyperlink"/>
    <w:basedOn w:val="Fuentedeprrafopredeter"/>
    <w:rsid w:val="0054574A"/>
    <w:rPr>
      <w:color w:val="800080"/>
      <w:u w:val="single"/>
    </w:rPr>
  </w:style>
  <w:style w:type="paragraph" w:styleId="NormalWeb">
    <w:name w:val="Normal (Web)"/>
    <w:basedOn w:val="Normal"/>
    <w:rsid w:val="0054574A"/>
    <w:pPr>
      <w:spacing w:before="100" w:beforeAutospacing="1" w:after="100" w:afterAutospacing="1"/>
    </w:pPr>
    <w:rPr>
      <w:lang w:val="en-US"/>
    </w:rPr>
  </w:style>
  <w:style w:type="paragraph" w:styleId="Encabezado">
    <w:name w:val="header"/>
    <w:basedOn w:val="Normal"/>
    <w:link w:val="EncabezadoCar"/>
    <w:uiPriority w:val="99"/>
    <w:rsid w:val="0054574A"/>
    <w:pPr>
      <w:tabs>
        <w:tab w:val="center" w:pos="4320"/>
        <w:tab w:val="right" w:pos="8640"/>
      </w:tabs>
    </w:pPr>
  </w:style>
  <w:style w:type="paragraph" w:styleId="Piedepgina">
    <w:name w:val="footer"/>
    <w:basedOn w:val="Normal"/>
    <w:link w:val="PiedepginaCar"/>
    <w:uiPriority w:val="99"/>
    <w:rsid w:val="0054574A"/>
    <w:pPr>
      <w:tabs>
        <w:tab w:val="center" w:pos="4320"/>
        <w:tab w:val="right" w:pos="8640"/>
      </w:tabs>
    </w:pPr>
  </w:style>
  <w:style w:type="paragraph" w:styleId="Lista2">
    <w:name w:val="List 2"/>
    <w:basedOn w:val="Normal"/>
    <w:rsid w:val="0054574A"/>
    <w:pPr>
      <w:ind w:left="720" w:hanging="360"/>
    </w:pPr>
    <w:rPr>
      <w:rFonts w:ascii="Courier New" w:hAnsi="Courier New"/>
      <w:szCs w:val="20"/>
      <w:lang w:eastAsia="es-ES" w:bidi="he-IL"/>
    </w:rPr>
  </w:style>
  <w:style w:type="paragraph" w:styleId="Lista3">
    <w:name w:val="List 3"/>
    <w:basedOn w:val="Normal"/>
    <w:rsid w:val="0054574A"/>
    <w:pPr>
      <w:ind w:left="1080" w:hanging="360"/>
    </w:pPr>
    <w:rPr>
      <w:rFonts w:ascii="Courier New" w:hAnsi="Courier New"/>
      <w:szCs w:val="20"/>
      <w:lang w:eastAsia="es-ES" w:bidi="he-IL"/>
    </w:rPr>
  </w:style>
  <w:style w:type="paragraph" w:styleId="Listaconvietas2">
    <w:name w:val="List Bullet 2"/>
    <w:basedOn w:val="Normal"/>
    <w:rsid w:val="0054574A"/>
    <w:pPr>
      <w:tabs>
        <w:tab w:val="num" w:pos="720"/>
      </w:tabs>
      <w:ind w:left="720" w:hanging="360"/>
    </w:pPr>
    <w:rPr>
      <w:rFonts w:ascii="Courier New" w:hAnsi="Courier New"/>
      <w:szCs w:val="20"/>
      <w:lang w:eastAsia="es-ES" w:bidi="he-IL"/>
    </w:rPr>
  </w:style>
  <w:style w:type="paragraph" w:styleId="Subttulo">
    <w:name w:val="Subtitle"/>
    <w:basedOn w:val="Normal"/>
    <w:qFormat/>
    <w:rsid w:val="0054574A"/>
    <w:pPr>
      <w:spacing w:after="60"/>
      <w:ind w:left="1080"/>
      <w:jc w:val="center"/>
      <w:outlineLvl w:val="1"/>
    </w:pPr>
    <w:rPr>
      <w:rFonts w:ascii="Arial" w:eastAsia="Batang" w:hAnsi="Arial" w:cs="Arial"/>
      <w:spacing w:val="-5"/>
      <w:sz w:val="20"/>
      <w:szCs w:val="20"/>
      <w:lang w:val="es-ES"/>
    </w:rPr>
  </w:style>
  <w:style w:type="paragraph" w:styleId="Ttulo">
    <w:name w:val="Title"/>
    <w:basedOn w:val="Normal"/>
    <w:next w:val="Subttulo"/>
    <w:qFormat/>
    <w:rsid w:val="0054574A"/>
    <w:pPr>
      <w:keepNext/>
      <w:keepLines/>
      <w:pBdr>
        <w:top w:val="single" w:sz="6" w:space="16" w:color="auto"/>
      </w:pBdr>
      <w:spacing w:before="220" w:after="60" w:line="320" w:lineRule="atLeast"/>
      <w:ind w:left="1080"/>
    </w:pPr>
    <w:rPr>
      <w:rFonts w:ascii="Arial Black" w:eastAsia="Batang" w:hAnsi="Arial Black"/>
      <w:spacing w:val="-30"/>
      <w:kern w:val="28"/>
      <w:sz w:val="40"/>
      <w:szCs w:val="20"/>
      <w:lang w:val="es-ES"/>
    </w:rPr>
  </w:style>
  <w:style w:type="paragraph" w:styleId="Textoindependiente">
    <w:name w:val="Body Text"/>
    <w:basedOn w:val="Normal"/>
    <w:rsid w:val="0054574A"/>
    <w:pPr>
      <w:tabs>
        <w:tab w:val="left" w:pos="-720"/>
        <w:tab w:val="left" w:pos="0"/>
        <w:tab w:val="left" w:pos="276"/>
        <w:tab w:val="left" w:pos="7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830"/>
      </w:tabs>
      <w:suppressAutoHyphens/>
      <w:jc w:val="center"/>
    </w:pPr>
    <w:rPr>
      <w:b/>
      <w:szCs w:val="20"/>
      <w:lang w:eastAsia="es-ES" w:bidi="he-IL"/>
    </w:rPr>
  </w:style>
  <w:style w:type="paragraph" w:styleId="Sangradetextonormal">
    <w:name w:val="Body Text Indent"/>
    <w:basedOn w:val="Normal"/>
    <w:rsid w:val="0054574A"/>
    <w:pPr>
      <w:jc w:val="both"/>
    </w:pPr>
    <w:rPr>
      <w:rFonts w:ascii="Arial" w:hAnsi="Arial"/>
      <w:color w:val="000000"/>
      <w:szCs w:val="20"/>
      <w:lang w:eastAsia="es-ES" w:bidi="he-IL"/>
    </w:rPr>
  </w:style>
  <w:style w:type="paragraph" w:styleId="Continuarlista2">
    <w:name w:val="List Continue 2"/>
    <w:basedOn w:val="Normal"/>
    <w:rsid w:val="0054574A"/>
    <w:pPr>
      <w:spacing w:after="120"/>
      <w:ind w:left="720"/>
    </w:pPr>
    <w:rPr>
      <w:rFonts w:ascii="Courier New" w:hAnsi="Courier New"/>
      <w:szCs w:val="20"/>
      <w:lang w:eastAsia="es-ES" w:bidi="he-IL"/>
    </w:rPr>
  </w:style>
  <w:style w:type="paragraph" w:styleId="Saludo">
    <w:name w:val="Salutation"/>
    <w:basedOn w:val="Normal"/>
    <w:next w:val="Normal"/>
    <w:rsid w:val="0054574A"/>
    <w:rPr>
      <w:rFonts w:ascii="Courier New" w:hAnsi="Courier New"/>
      <w:szCs w:val="20"/>
      <w:lang w:eastAsia="es-ES" w:bidi="he-IL"/>
    </w:rPr>
  </w:style>
  <w:style w:type="paragraph" w:styleId="Textoindependienteprimerasangra2">
    <w:name w:val="Body Text First Indent 2"/>
    <w:basedOn w:val="Sangradetextonormal"/>
    <w:rsid w:val="0054574A"/>
    <w:pPr>
      <w:spacing w:after="120"/>
      <w:ind w:left="360" w:firstLine="210"/>
      <w:jc w:val="left"/>
    </w:pPr>
    <w:rPr>
      <w:rFonts w:ascii="Courier New" w:hAnsi="Courier New"/>
      <w:color w:val="auto"/>
    </w:rPr>
  </w:style>
  <w:style w:type="paragraph" w:styleId="Textoindependiente2">
    <w:name w:val="Body Text 2"/>
    <w:basedOn w:val="Normal"/>
    <w:rsid w:val="0054574A"/>
    <w:pPr>
      <w:tabs>
        <w:tab w:val="left" w:pos="-1440"/>
        <w:tab w:val="left" w:pos="-720"/>
      </w:tabs>
      <w:suppressAutoHyphens/>
      <w:jc w:val="both"/>
    </w:pPr>
    <w:rPr>
      <w:sz w:val="22"/>
      <w:szCs w:val="20"/>
      <w:lang w:eastAsia="es-ES" w:bidi="he-IL"/>
    </w:rPr>
  </w:style>
  <w:style w:type="paragraph" w:styleId="Textoindependiente3">
    <w:name w:val="Body Text 3"/>
    <w:basedOn w:val="Normal"/>
    <w:rsid w:val="0054574A"/>
    <w:pPr>
      <w:numPr>
        <w:numId w:val="1"/>
      </w:numPr>
      <w:tabs>
        <w:tab w:val="clear" w:pos="643"/>
      </w:tabs>
      <w:ind w:left="0" w:firstLine="0"/>
      <w:jc w:val="both"/>
    </w:pPr>
    <w:rPr>
      <w:rFonts w:ascii="Tahoma" w:hAnsi="Tahoma" w:cs="Tahoma"/>
      <w:color w:val="FF0000"/>
      <w:sz w:val="20"/>
    </w:rPr>
  </w:style>
  <w:style w:type="paragraph" w:styleId="Sangra2detindependiente">
    <w:name w:val="Body Text Indent 2"/>
    <w:basedOn w:val="Normal"/>
    <w:rsid w:val="0054574A"/>
    <w:pPr>
      <w:spacing w:after="120" w:line="480" w:lineRule="auto"/>
      <w:ind w:left="360"/>
    </w:pPr>
    <w:rPr>
      <w:lang w:eastAsia="es-ES"/>
    </w:rPr>
  </w:style>
  <w:style w:type="paragraph" w:styleId="Sangra3detindependiente">
    <w:name w:val="Body Text Indent 3"/>
    <w:basedOn w:val="Normal"/>
    <w:rsid w:val="0054574A"/>
    <w:pPr>
      <w:ind w:left="360"/>
      <w:jc w:val="both"/>
    </w:pPr>
    <w:rPr>
      <w:rFonts w:ascii="Arial" w:hAnsi="Arial" w:cs="Arial"/>
      <w:sz w:val="20"/>
      <w:szCs w:val="20"/>
      <w:lang w:eastAsia="es-ES"/>
    </w:rPr>
  </w:style>
  <w:style w:type="paragraph" w:styleId="Textodebloque">
    <w:name w:val="Block Text"/>
    <w:basedOn w:val="Normal"/>
    <w:rsid w:val="0054574A"/>
    <w:pPr>
      <w:spacing w:line="360" w:lineRule="auto"/>
      <w:ind w:left="500" w:right="500"/>
      <w:jc w:val="both"/>
    </w:pPr>
    <w:rPr>
      <w:rFonts w:ascii="Garamond" w:hAnsi="Garamond" w:cs="Arial"/>
      <w:b/>
      <w:iCs/>
      <w:sz w:val="22"/>
      <w:szCs w:val="22"/>
      <w:lang w:eastAsia="es-ES" w:bidi="he-IL"/>
    </w:rPr>
  </w:style>
  <w:style w:type="paragraph" w:customStyle="1" w:styleId="Textodenotaalfinal">
    <w:name w:val="Texto de nota al final"/>
    <w:basedOn w:val="Normal"/>
    <w:rsid w:val="0054574A"/>
    <w:rPr>
      <w:rFonts w:ascii="Courier New" w:hAnsi="Courier New"/>
      <w:szCs w:val="20"/>
      <w:lang w:eastAsia="es-ES" w:bidi="he-IL"/>
    </w:rPr>
  </w:style>
  <w:style w:type="paragraph" w:customStyle="1" w:styleId="Textodenotaalpie">
    <w:name w:val="Texto de nota al pie"/>
    <w:basedOn w:val="Normal"/>
    <w:rsid w:val="0054574A"/>
    <w:rPr>
      <w:rFonts w:ascii="Courier New" w:hAnsi="Courier New"/>
      <w:szCs w:val="20"/>
      <w:lang w:eastAsia="es-ES" w:bidi="he-IL"/>
    </w:rPr>
  </w:style>
  <w:style w:type="paragraph" w:customStyle="1" w:styleId="Prder1">
    <w:name w:val="PÀÀr. der. 1"/>
    <w:rsid w:val="0054574A"/>
    <w:pPr>
      <w:tabs>
        <w:tab w:val="left" w:pos="-720"/>
        <w:tab w:val="left" w:pos="0"/>
        <w:tab w:val="decimal" w:pos="720"/>
      </w:tabs>
      <w:suppressAutoHyphens/>
      <w:ind w:left="720"/>
    </w:pPr>
    <w:rPr>
      <w:rFonts w:ascii="Courier New" w:hAnsi="Courier New"/>
      <w:sz w:val="24"/>
      <w:lang w:val="en-US" w:eastAsia="es-ES" w:bidi="he-IL"/>
    </w:rPr>
  </w:style>
  <w:style w:type="paragraph" w:customStyle="1" w:styleId="Prder2">
    <w:name w:val="PÀÀr. der. 2"/>
    <w:rsid w:val="0054574A"/>
    <w:pPr>
      <w:tabs>
        <w:tab w:val="left" w:pos="-720"/>
        <w:tab w:val="left" w:pos="0"/>
        <w:tab w:val="left" w:pos="720"/>
        <w:tab w:val="decimal" w:pos="1440"/>
      </w:tabs>
      <w:suppressAutoHyphens/>
      <w:ind w:left="1440"/>
    </w:pPr>
    <w:rPr>
      <w:rFonts w:ascii="Courier New" w:hAnsi="Courier New"/>
      <w:sz w:val="24"/>
      <w:lang w:val="en-US" w:eastAsia="es-ES" w:bidi="he-IL"/>
    </w:rPr>
  </w:style>
  <w:style w:type="paragraph" w:customStyle="1" w:styleId="Prder3">
    <w:name w:val="PÀÀr. der. 3"/>
    <w:rsid w:val="0054574A"/>
    <w:pPr>
      <w:tabs>
        <w:tab w:val="left" w:pos="-720"/>
        <w:tab w:val="left" w:pos="0"/>
        <w:tab w:val="left" w:pos="720"/>
        <w:tab w:val="left" w:pos="1440"/>
        <w:tab w:val="decimal" w:pos="2160"/>
      </w:tabs>
      <w:suppressAutoHyphens/>
      <w:ind w:left="2160"/>
    </w:pPr>
    <w:rPr>
      <w:rFonts w:ascii="Courier New" w:hAnsi="Courier New"/>
      <w:sz w:val="24"/>
      <w:lang w:val="en-US" w:eastAsia="es-ES" w:bidi="he-IL"/>
    </w:rPr>
  </w:style>
  <w:style w:type="paragraph" w:customStyle="1" w:styleId="Prder4">
    <w:name w:val="PÀÀr. der. 4"/>
    <w:rsid w:val="0054574A"/>
    <w:pPr>
      <w:tabs>
        <w:tab w:val="left" w:pos="-720"/>
        <w:tab w:val="left" w:pos="0"/>
        <w:tab w:val="left" w:pos="720"/>
        <w:tab w:val="left" w:pos="1440"/>
        <w:tab w:val="left" w:pos="2160"/>
        <w:tab w:val="decimal" w:pos="2880"/>
      </w:tabs>
      <w:suppressAutoHyphens/>
      <w:ind w:left="2880"/>
    </w:pPr>
    <w:rPr>
      <w:rFonts w:ascii="Courier New" w:hAnsi="Courier New"/>
      <w:sz w:val="24"/>
      <w:lang w:val="en-US" w:eastAsia="es-ES" w:bidi="he-IL"/>
    </w:rPr>
  </w:style>
  <w:style w:type="paragraph" w:customStyle="1" w:styleId="Documento1">
    <w:name w:val="Documento 1"/>
    <w:rsid w:val="0054574A"/>
    <w:pPr>
      <w:keepNext/>
      <w:keepLines/>
      <w:tabs>
        <w:tab w:val="left" w:pos="-720"/>
      </w:tabs>
      <w:suppressAutoHyphens/>
    </w:pPr>
    <w:rPr>
      <w:rFonts w:ascii="Courier New" w:hAnsi="Courier New"/>
      <w:sz w:val="24"/>
      <w:lang w:val="en-US" w:eastAsia="es-ES" w:bidi="he-IL"/>
    </w:rPr>
  </w:style>
  <w:style w:type="paragraph" w:customStyle="1" w:styleId="Prder5">
    <w:name w:val="PÀÀr. der. 5"/>
    <w:rsid w:val="0054574A"/>
    <w:pPr>
      <w:tabs>
        <w:tab w:val="left" w:pos="-720"/>
        <w:tab w:val="left" w:pos="0"/>
        <w:tab w:val="left" w:pos="720"/>
        <w:tab w:val="left" w:pos="1440"/>
        <w:tab w:val="left" w:pos="2160"/>
        <w:tab w:val="left" w:pos="2880"/>
        <w:tab w:val="decimal" w:pos="3600"/>
      </w:tabs>
      <w:suppressAutoHyphens/>
      <w:ind w:left="3600"/>
    </w:pPr>
    <w:rPr>
      <w:rFonts w:ascii="Courier New" w:hAnsi="Courier New"/>
      <w:sz w:val="24"/>
      <w:lang w:val="en-US" w:eastAsia="es-ES" w:bidi="he-IL"/>
    </w:rPr>
  </w:style>
  <w:style w:type="paragraph" w:customStyle="1" w:styleId="Prder6">
    <w:name w:val="PÀÀr. der. 6"/>
    <w:rsid w:val="0054574A"/>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sz w:val="24"/>
      <w:lang w:val="en-US" w:eastAsia="es-ES" w:bidi="he-IL"/>
    </w:rPr>
  </w:style>
  <w:style w:type="paragraph" w:customStyle="1" w:styleId="Prder7">
    <w:name w:val="PÀÀr. der. 7"/>
    <w:rsid w:val="0054574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sz w:val="24"/>
      <w:lang w:val="en-US" w:eastAsia="es-ES" w:bidi="he-IL"/>
    </w:rPr>
  </w:style>
  <w:style w:type="paragraph" w:customStyle="1" w:styleId="Prder8">
    <w:name w:val="PÀÀr. der. 8"/>
    <w:rsid w:val="0054574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sz w:val="24"/>
      <w:lang w:val="en-US" w:eastAsia="es-ES" w:bidi="he-IL"/>
    </w:rPr>
  </w:style>
  <w:style w:type="paragraph" w:customStyle="1" w:styleId="Tcnico4">
    <w:name w:val="TÀ)Àcnico 4"/>
    <w:rsid w:val="0054574A"/>
    <w:pPr>
      <w:tabs>
        <w:tab w:val="left" w:pos="-720"/>
      </w:tabs>
      <w:suppressAutoHyphens/>
    </w:pPr>
    <w:rPr>
      <w:rFonts w:ascii="Courier New" w:hAnsi="Courier New"/>
      <w:b/>
      <w:sz w:val="24"/>
      <w:lang w:val="en-US" w:eastAsia="es-ES" w:bidi="he-IL"/>
    </w:rPr>
  </w:style>
  <w:style w:type="paragraph" w:customStyle="1" w:styleId="Tcnico5">
    <w:name w:val="TÀ)Àcnico 5"/>
    <w:rsid w:val="0054574A"/>
    <w:pPr>
      <w:tabs>
        <w:tab w:val="left" w:pos="-720"/>
      </w:tabs>
      <w:suppressAutoHyphens/>
      <w:ind w:firstLine="720"/>
    </w:pPr>
    <w:rPr>
      <w:rFonts w:ascii="Courier New" w:hAnsi="Courier New"/>
      <w:b/>
      <w:sz w:val="24"/>
      <w:lang w:val="en-US" w:eastAsia="es-ES" w:bidi="he-IL"/>
    </w:rPr>
  </w:style>
  <w:style w:type="paragraph" w:customStyle="1" w:styleId="Tcnico6">
    <w:name w:val="TÀ)Àcnico 6"/>
    <w:rsid w:val="0054574A"/>
    <w:pPr>
      <w:tabs>
        <w:tab w:val="left" w:pos="-720"/>
      </w:tabs>
      <w:suppressAutoHyphens/>
      <w:ind w:firstLine="720"/>
    </w:pPr>
    <w:rPr>
      <w:rFonts w:ascii="Courier New" w:hAnsi="Courier New"/>
      <w:b/>
      <w:sz w:val="24"/>
      <w:lang w:val="en-US" w:eastAsia="es-ES" w:bidi="he-IL"/>
    </w:rPr>
  </w:style>
  <w:style w:type="paragraph" w:customStyle="1" w:styleId="Tcnico7">
    <w:name w:val="TÀ)Àcnico 7"/>
    <w:rsid w:val="0054574A"/>
    <w:pPr>
      <w:tabs>
        <w:tab w:val="left" w:pos="-720"/>
      </w:tabs>
      <w:suppressAutoHyphens/>
      <w:ind w:firstLine="720"/>
    </w:pPr>
    <w:rPr>
      <w:rFonts w:ascii="Courier New" w:hAnsi="Courier New"/>
      <w:b/>
      <w:sz w:val="24"/>
      <w:lang w:val="en-US" w:eastAsia="es-ES" w:bidi="he-IL"/>
    </w:rPr>
  </w:style>
  <w:style w:type="paragraph" w:customStyle="1" w:styleId="Tcnico8">
    <w:name w:val="TÀ)Àcnico 8"/>
    <w:rsid w:val="0054574A"/>
    <w:pPr>
      <w:tabs>
        <w:tab w:val="left" w:pos="-720"/>
      </w:tabs>
      <w:suppressAutoHyphens/>
      <w:ind w:firstLine="720"/>
    </w:pPr>
    <w:rPr>
      <w:rFonts w:ascii="Courier New" w:hAnsi="Courier New"/>
      <w:b/>
      <w:sz w:val="24"/>
      <w:lang w:val="en-US" w:eastAsia="es-ES" w:bidi="he-IL"/>
    </w:rPr>
  </w:style>
  <w:style w:type="paragraph" w:customStyle="1" w:styleId="ndice1">
    <w:name w:val="índice 1"/>
    <w:basedOn w:val="Normal"/>
    <w:rsid w:val="0054574A"/>
    <w:pPr>
      <w:tabs>
        <w:tab w:val="right" w:leader="dot" w:pos="9360"/>
      </w:tabs>
      <w:suppressAutoHyphens/>
      <w:ind w:left="1440" w:right="720" w:hanging="1440"/>
    </w:pPr>
    <w:rPr>
      <w:rFonts w:ascii="Courier New" w:hAnsi="Courier New"/>
      <w:szCs w:val="20"/>
      <w:lang w:val="en-US" w:eastAsia="es-ES" w:bidi="he-IL"/>
    </w:rPr>
  </w:style>
  <w:style w:type="paragraph" w:customStyle="1" w:styleId="ndice2">
    <w:name w:val="índice 2"/>
    <w:basedOn w:val="Normal"/>
    <w:rsid w:val="0054574A"/>
    <w:pPr>
      <w:tabs>
        <w:tab w:val="right" w:leader="dot" w:pos="9360"/>
      </w:tabs>
      <w:suppressAutoHyphens/>
      <w:ind w:left="1440" w:right="720" w:hanging="720"/>
    </w:pPr>
    <w:rPr>
      <w:rFonts w:ascii="Courier New" w:hAnsi="Courier New"/>
      <w:szCs w:val="20"/>
      <w:lang w:val="en-US" w:eastAsia="es-ES" w:bidi="he-IL"/>
    </w:rPr>
  </w:style>
  <w:style w:type="paragraph" w:customStyle="1" w:styleId="toa">
    <w:name w:val="toa"/>
    <w:basedOn w:val="Normal"/>
    <w:rsid w:val="0054574A"/>
    <w:pPr>
      <w:tabs>
        <w:tab w:val="right" w:pos="9360"/>
      </w:tabs>
      <w:suppressAutoHyphens/>
    </w:pPr>
    <w:rPr>
      <w:rFonts w:ascii="Courier New" w:hAnsi="Courier New"/>
      <w:szCs w:val="20"/>
      <w:lang w:val="en-US" w:eastAsia="es-ES" w:bidi="he-IL"/>
    </w:rPr>
  </w:style>
  <w:style w:type="paragraph" w:customStyle="1" w:styleId="epgrafe">
    <w:name w:val="epígrafe"/>
    <w:basedOn w:val="Normal"/>
    <w:rsid w:val="0054574A"/>
    <w:rPr>
      <w:rFonts w:ascii="Courier New" w:hAnsi="Courier New"/>
      <w:szCs w:val="20"/>
      <w:lang w:eastAsia="es-ES" w:bidi="he-IL"/>
    </w:rPr>
  </w:style>
  <w:style w:type="paragraph" w:customStyle="1" w:styleId="xl24">
    <w:name w:val="xl24"/>
    <w:basedOn w:val="Normal"/>
    <w:rsid w:val="0054574A"/>
    <w:pPr>
      <w:spacing w:before="100" w:beforeAutospacing="1" w:after="100" w:afterAutospacing="1"/>
      <w:jc w:val="right"/>
    </w:pPr>
    <w:rPr>
      <w:rFonts w:ascii="Arial Unicode MS" w:eastAsia="Arial Unicode MS" w:hAnsi="Arial Unicode MS" w:cs="Arial Unicode MS"/>
      <w:lang w:val="en-US"/>
    </w:rPr>
  </w:style>
  <w:style w:type="paragraph" w:customStyle="1" w:styleId="xl25">
    <w:name w:val="xl25"/>
    <w:basedOn w:val="Normal"/>
    <w:rsid w:val="0054574A"/>
    <w:pPr>
      <w:spacing w:before="100" w:beforeAutospacing="1" w:after="100" w:afterAutospacing="1"/>
      <w:jc w:val="right"/>
    </w:pPr>
    <w:rPr>
      <w:rFonts w:ascii="Arial" w:eastAsia="Arial Unicode MS" w:hAnsi="Arial" w:cs="Arial"/>
      <w:b/>
      <w:bCs/>
      <w:lang w:val="en-US"/>
    </w:rPr>
  </w:style>
  <w:style w:type="paragraph" w:customStyle="1" w:styleId="xl26">
    <w:name w:val="xl26"/>
    <w:basedOn w:val="Normal"/>
    <w:rsid w:val="0054574A"/>
    <w:pPr>
      <w:pBdr>
        <w:bottom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27">
    <w:name w:val="xl27"/>
    <w:basedOn w:val="Normal"/>
    <w:rsid w:val="0054574A"/>
    <w:pPr>
      <w:pBdr>
        <w:bottom w:val="single" w:sz="4" w:space="0" w:color="auto"/>
      </w:pBdr>
      <w:spacing w:before="100" w:beforeAutospacing="1" w:after="100" w:afterAutospacing="1"/>
      <w:jc w:val="right"/>
    </w:pPr>
    <w:rPr>
      <w:rFonts w:ascii="Arial" w:eastAsia="Arial Unicode MS" w:hAnsi="Arial" w:cs="Arial"/>
      <w:b/>
      <w:bCs/>
      <w:lang w:val="en-US"/>
    </w:rPr>
  </w:style>
  <w:style w:type="paragraph" w:customStyle="1" w:styleId="xl28">
    <w:name w:val="xl28"/>
    <w:basedOn w:val="Normal"/>
    <w:rsid w:val="0054574A"/>
    <w:pPr>
      <w:pBdr>
        <w:top w:val="single" w:sz="4" w:space="0" w:color="auto"/>
        <w:bottom w:val="double" w:sz="6" w:space="0" w:color="auto"/>
      </w:pBdr>
      <w:spacing w:before="100" w:beforeAutospacing="1" w:after="100" w:afterAutospacing="1"/>
      <w:jc w:val="right"/>
    </w:pPr>
    <w:rPr>
      <w:rFonts w:ascii="Arial" w:eastAsia="Arial Unicode MS" w:hAnsi="Arial" w:cs="Arial"/>
      <w:b/>
      <w:bCs/>
      <w:lang w:val="en-US"/>
    </w:rPr>
  </w:style>
  <w:style w:type="paragraph" w:customStyle="1" w:styleId="xl29">
    <w:name w:val="xl29"/>
    <w:basedOn w:val="Normal"/>
    <w:rsid w:val="0054574A"/>
    <w:pPr>
      <w:spacing w:before="100" w:beforeAutospacing="1" w:after="100" w:afterAutospacing="1"/>
      <w:jc w:val="right"/>
    </w:pPr>
    <w:rPr>
      <w:rFonts w:ascii="Arial Unicode MS" w:eastAsia="Arial Unicode MS" w:hAnsi="Arial Unicode MS" w:cs="Arial Unicode MS"/>
      <w:lang w:val="en-US"/>
    </w:rPr>
  </w:style>
  <w:style w:type="paragraph" w:customStyle="1" w:styleId="xl30">
    <w:name w:val="xl30"/>
    <w:basedOn w:val="Normal"/>
    <w:rsid w:val="0054574A"/>
    <w:pPr>
      <w:pBdr>
        <w:bottom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31">
    <w:name w:val="xl31"/>
    <w:basedOn w:val="Normal"/>
    <w:rsid w:val="0054574A"/>
    <w:pPr>
      <w:spacing w:before="100" w:beforeAutospacing="1" w:after="100" w:afterAutospacing="1"/>
      <w:jc w:val="center"/>
    </w:pPr>
    <w:rPr>
      <w:rFonts w:ascii="Arial Unicode MS" w:eastAsia="Arial Unicode MS" w:hAnsi="Arial Unicode MS" w:cs="Arial Unicode MS"/>
      <w:lang w:val="en-US"/>
    </w:rPr>
  </w:style>
  <w:style w:type="paragraph" w:customStyle="1" w:styleId="xl32">
    <w:name w:val="xl32"/>
    <w:basedOn w:val="Normal"/>
    <w:rsid w:val="0054574A"/>
    <w:pPr>
      <w:pBdr>
        <w:bottom w:val="double" w:sz="6" w:space="0" w:color="auto"/>
      </w:pBdr>
      <w:spacing w:before="100" w:beforeAutospacing="1" w:after="100" w:afterAutospacing="1"/>
      <w:jc w:val="right"/>
    </w:pPr>
    <w:rPr>
      <w:rFonts w:ascii="Arial" w:eastAsia="Arial Unicode MS" w:hAnsi="Arial" w:cs="Arial"/>
      <w:b/>
      <w:bCs/>
      <w:lang w:val="en-US"/>
    </w:rPr>
  </w:style>
  <w:style w:type="paragraph" w:customStyle="1" w:styleId="xl33">
    <w:name w:val="xl33"/>
    <w:basedOn w:val="Normal"/>
    <w:rsid w:val="0054574A"/>
    <w:pPr>
      <w:pBdr>
        <w:top w:val="single" w:sz="4" w:space="0" w:color="auto"/>
        <w:bottom w:val="double" w:sz="6" w:space="0" w:color="auto"/>
      </w:pBdr>
      <w:spacing w:before="100" w:beforeAutospacing="1" w:after="100" w:afterAutospacing="1"/>
      <w:jc w:val="right"/>
    </w:pPr>
    <w:rPr>
      <w:rFonts w:ascii="Arial" w:eastAsia="Arial Unicode MS" w:hAnsi="Arial" w:cs="Arial"/>
      <w:b/>
      <w:bCs/>
      <w:lang w:val="en-US"/>
    </w:rPr>
  </w:style>
  <w:style w:type="paragraph" w:customStyle="1" w:styleId="xl34">
    <w:name w:val="xl34"/>
    <w:basedOn w:val="Normal"/>
    <w:rsid w:val="0054574A"/>
    <w:pPr>
      <w:pBdr>
        <w:top w:val="single" w:sz="4" w:space="0" w:color="auto"/>
      </w:pBdr>
      <w:spacing w:before="100" w:beforeAutospacing="1" w:after="100" w:afterAutospacing="1"/>
      <w:jc w:val="center"/>
    </w:pPr>
    <w:rPr>
      <w:rFonts w:ascii="Arial" w:eastAsia="Arial Unicode MS" w:hAnsi="Arial" w:cs="Arial"/>
      <w:b/>
      <w:bCs/>
      <w:sz w:val="18"/>
      <w:szCs w:val="18"/>
      <w:lang w:val="en-US"/>
    </w:rPr>
  </w:style>
  <w:style w:type="paragraph" w:customStyle="1" w:styleId="xl35">
    <w:name w:val="xl35"/>
    <w:basedOn w:val="Normal"/>
    <w:rsid w:val="0054574A"/>
    <w:pPr>
      <w:pBdr>
        <w:top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36">
    <w:name w:val="xl36"/>
    <w:basedOn w:val="Normal"/>
    <w:rsid w:val="0054574A"/>
    <w:pPr>
      <w:pBdr>
        <w:bottom w:val="single" w:sz="4" w:space="0" w:color="auto"/>
      </w:pBdr>
      <w:spacing w:before="100" w:beforeAutospacing="1" w:after="100" w:afterAutospacing="1"/>
      <w:jc w:val="center"/>
    </w:pPr>
    <w:rPr>
      <w:rFonts w:ascii="Arial" w:eastAsia="Arial Unicode MS" w:hAnsi="Arial" w:cs="Arial"/>
      <w:b/>
      <w:bCs/>
      <w:sz w:val="18"/>
      <w:szCs w:val="18"/>
      <w:lang w:val="en-US"/>
    </w:rPr>
  </w:style>
  <w:style w:type="paragraph" w:customStyle="1" w:styleId="xl37">
    <w:name w:val="xl37"/>
    <w:basedOn w:val="Normal"/>
    <w:rsid w:val="0054574A"/>
    <w:pPr>
      <w:pBdr>
        <w:bottom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38">
    <w:name w:val="xl38"/>
    <w:basedOn w:val="Normal"/>
    <w:rsid w:val="0054574A"/>
    <w:pPr>
      <w:pBdr>
        <w:bottom w:val="single" w:sz="4" w:space="0" w:color="auto"/>
      </w:pBdr>
      <w:spacing w:before="100" w:beforeAutospacing="1" w:after="100" w:afterAutospacing="1"/>
    </w:pPr>
    <w:rPr>
      <w:rFonts w:ascii="Arial" w:eastAsia="Arial Unicode MS" w:hAnsi="Arial" w:cs="Arial"/>
      <w:b/>
      <w:bCs/>
      <w:lang w:val="en-US"/>
    </w:rPr>
  </w:style>
  <w:style w:type="paragraph" w:customStyle="1" w:styleId="xl39">
    <w:name w:val="xl39"/>
    <w:basedOn w:val="Normal"/>
    <w:rsid w:val="0054574A"/>
    <w:pPr>
      <w:pBdr>
        <w:bottom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40">
    <w:name w:val="xl40"/>
    <w:basedOn w:val="Normal"/>
    <w:rsid w:val="0054574A"/>
    <w:pPr>
      <w:pBdr>
        <w:bottom w:val="single" w:sz="4" w:space="0" w:color="auto"/>
      </w:pBdr>
      <w:spacing w:before="100" w:beforeAutospacing="1" w:after="100" w:afterAutospacing="1"/>
    </w:pPr>
    <w:rPr>
      <w:rFonts w:ascii="Arial" w:eastAsia="Arial Unicode MS" w:hAnsi="Arial" w:cs="Arial"/>
      <w:b/>
      <w:bCs/>
      <w:lang w:val="en-US"/>
    </w:rPr>
  </w:style>
  <w:style w:type="paragraph" w:customStyle="1" w:styleId="xl41">
    <w:name w:val="xl41"/>
    <w:basedOn w:val="Normal"/>
    <w:rsid w:val="0054574A"/>
    <w:pPr>
      <w:pBdr>
        <w:top w:val="single" w:sz="4" w:space="0" w:color="auto"/>
        <w:right w:val="single" w:sz="4" w:space="0" w:color="auto"/>
      </w:pBdr>
      <w:spacing w:before="100" w:beforeAutospacing="1" w:after="100" w:afterAutospacing="1"/>
      <w:jc w:val="center"/>
    </w:pPr>
    <w:rPr>
      <w:rFonts w:ascii="Arial" w:eastAsia="Arial Unicode MS" w:hAnsi="Arial" w:cs="Arial"/>
      <w:b/>
      <w:bCs/>
      <w:sz w:val="12"/>
      <w:szCs w:val="12"/>
      <w:lang w:val="en-US"/>
    </w:rPr>
  </w:style>
  <w:style w:type="paragraph" w:customStyle="1" w:styleId="xl42">
    <w:name w:val="xl42"/>
    <w:basedOn w:val="Normal"/>
    <w:rsid w:val="0054574A"/>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xl43">
    <w:name w:val="xl43"/>
    <w:basedOn w:val="Normal"/>
    <w:rsid w:val="0054574A"/>
    <w:pPr>
      <w:pBdr>
        <w:lef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xl44">
    <w:name w:val="xl44"/>
    <w:basedOn w:val="Normal"/>
    <w:rsid w:val="0054574A"/>
    <w:pPr>
      <w:spacing w:before="100" w:beforeAutospacing="1" w:after="100" w:afterAutospacing="1"/>
    </w:pPr>
    <w:rPr>
      <w:rFonts w:ascii="Arial" w:eastAsia="Arial Unicode MS" w:hAnsi="Arial" w:cs="Arial"/>
      <w:b/>
      <w:bCs/>
      <w:sz w:val="12"/>
      <w:szCs w:val="12"/>
      <w:lang w:val="en-US"/>
    </w:rPr>
  </w:style>
  <w:style w:type="paragraph" w:customStyle="1" w:styleId="xl45">
    <w:name w:val="xl45"/>
    <w:basedOn w:val="Normal"/>
    <w:rsid w:val="0054574A"/>
    <w:pPr>
      <w:pBdr>
        <w:right w:val="single" w:sz="4" w:space="0" w:color="auto"/>
      </w:pBdr>
      <w:spacing w:before="100" w:beforeAutospacing="1" w:after="100" w:afterAutospacing="1"/>
    </w:pPr>
    <w:rPr>
      <w:rFonts w:ascii="Arial" w:eastAsia="Arial Unicode MS" w:hAnsi="Arial" w:cs="Arial"/>
      <w:sz w:val="12"/>
      <w:szCs w:val="12"/>
      <w:lang w:val="en-US"/>
    </w:rPr>
  </w:style>
  <w:style w:type="paragraph" w:customStyle="1" w:styleId="xl46">
    <w:name w:val="xl46"/>
    <w:basedOn w:val="Normal"/>
    <w:rsid w:val="0054574A"/>
    <w:pPr>
      <w:pBdr>
        <w:right w:val="single" w:sz="4" w:space="0" w:color="auto"/>
      </w:pBdr>
      <w:spacing w:before="100" w:beforeAutospacing="1" w:after="100" w:afterAutospacing="1"/>
      <w:jc w:val="center"/>
    </w:pPr>
    <w:rPr>
      <w:rFonts w:ascii="Arial" w:eastAsia="Arial Unicode MS" w:hAnsi="Arial" w:cs="Arial"/>
      <w:sz w:val="12"/>
      <w:szCs w:val="12"/>
      <w:lang w:val="en-US"/>
    </w:rPr>
  </w:style>
  <w:style w:type="paragraph" w:customStyle="1" w:styleId="xl47">
    <w:name w:val="xl47"/>
    <w:basedOn w:val="Normal"/>
    <w:rsid w:val="0054574A"/>
    <w:pPr>
      <w:pBdr>
        <w:left w:val="single" w:sz="4" w:space="0" w:color="auto"/>
        <w:righ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xl48">
    <w:name w:val="xl48"/>
    <w:basedOn w:val="Normal"/>
    <w:rsid w:val="0054574A"/>
    <w:pPr>
      <w:pBdr>
        <w:left w:val="single" w:sz="4" w:space="0" w:color="auto"/>
      </w:pBdr>
      <w:spacing w:before="100" w:beforeAutospacing="1" w:after="100" w:afterAutospacing="1"/>
    </w:pPr>
    <w:rPr>
      <w:rFonts w:ascii="Arial" w:eastAsia="Arial Unicode MS" w:hAnsi="Arial" w:cs="Arial"/>
      <w:sz w:val="12"/>
      <w:szCs w:val="12"/>
      <w:lang w:val="en-US"/>
    </w:rPr>
  </w:style>
  <w:style w:type="paragraph" w:customStyle="1" w:styleId="xl49">
    <w:name w:val="xl49"/>
    <w:basedOn w:val="Normal"/>
    <w:rsid w:val="0054574A"/>
    <w:pPr>
      <w:spacing w:before="100" w:beforeAutospacing="1" w:after="100" w:afterAutospacing="1"/>
    </w:pPr>
    <w:rPr>
      <w:rFonts w:ascii="Arial" w:eastAsia="Arial Unicode MS" w:hAnsi="Arial" w:cs="Arial"/>
      <w:sz w:val="12"/>
      <w:szCs w:val="12"/>
      <w:lang w:val="en-US"/>
    </w:rPr>
  </w:style>
  <w:style w:type="paragraph" w:customStyle="1" w:styleId="xl50">
    <w:name w:val="xl50"/>
    <w:basedOn w:val="Normal"/>
    <w:rsid w:val="0054574A"/>
    <w:pPr>
      <w:spacing w:before="100" w:beforeAutospacing="1" w:after="100" w:afterAutospacing="1"/>
    </w:pPr>
    <w:rPr>
      <w:rFonts w:ascii="Arial" w:eastAsia="Arial Unicode MS" w:hAnsi="Arial" w:cs="Arial"/>
      <w:sz w:val="12"/>
      <w:szCs w:val="12"/>
      <w:lang w:val="en-US"/>
    </w:rPr>
  </w:style>
  <w:style w:type="paragraph" w:customStyle="1" w:styleId="xl51">
    <w:name w:val="xl51"/>
    <w:basedOn w:val="Normal"/>
    <w:rsid w:val="0054574A"/>
    <w:pPr>
      <w:pBdr>
        <w:right w:val="single" w:sz="4" w:space="0" w:color="auto"/>
      </w:pBdr>
      <w:spacing w:before="100" w:beforeAutospacing="1" w:after="100" w:afterAutospacing="1"/>
    </w:pPr>
    <w:rPr>
      <w:rFonts w:ascii="Arial" w:eastAsia="Arial Unicode MS" w:hAnsi="Arial" w:cs="Arial"/>
      <w:sz w:val="12"/>
      <w:szCs w:val="12"/>
      <w:lang w:val="en-US"/>
    </w:rPr>
  </w:style>
  <w:style w:type="paragraph" w:customStyle="1" w:styleId="xl52">
    <w:name w:val="xl52"/>
    <w:basedOn w:val="Normal"/>
    <w:rsid w:val="0054574A"/>
    <w:pPr>
      <w:pBdr>
        <w:right w:val="single" w:sz="4" w:space="0" w:color="auto"/>
      </w:pBdr>
      <w:spacing w:before="100" w:beforeAutospacing="1" w:after="100" w:afterAutospacing="1"/>
      <w:jc w:val="center"/>
    </w:pPr>
    <w:rPr>
      <w:rFonts w:ascii="Arial" w:eastAsia="Arial Unicode MS" w:hAnsi="Arial" w:cs="Arial"/>
      <w:b/>
      <w:bCs/>
      <w:sz w:val="12"/>
      <w:szCs w:val="12"/>
      <w:lang w:val="en-US"/>
    </w:rPr>
  </w:style>
  <w:style w:type="paragraph" w:customStyle="1" w:styleId="xl53">
    <w:name w:val="xl53"/>
    <w:basedOn w:val="Normal"/>
    <w:rsid w:val="0054574A"/>
    <w:pPr>
      <w:pBdr>
        <w:left w:val="single" w:sz="4" w:space="0" w:color="auto"/>
      </w:pBdr>
      <w:spacing w:before="100" w:beforeAutospacing="1" w:after="100" w:afterAutospacing="1"/>
    </w:pPr>
    <w:rPr>
      <w:rFonts w:ascii="Arial" w:eastAsia="Arial Unicode MS" w:hAnsi="Arial" w:cs="Arial"/>
      <w:sz w:val="12"/>
      <w:szCs w:val="12"/>
      <w:lang w:val="en-US"/>
    </w:rPr>
  </w:style>
  <w:style w:type="paragraph" w:customStyle="1" w:styleId="xl54">
    <w:name w:val="xl54"/>
    <w:basedOn w:val="Normal"/>
    <w:rsid w:val="0054574A"/>
    <w:pPr>
      <w:spacing w:before="100" w:beforeAutospacing="1" w:after="100" w:afterAutospacing="1"/>
    </w:pPr>
    <w:rPr>
      <w:rFonts w:ascii="Arial" w:eastAsia="Arial Unicode MS" w:hAnsi="Arial" w:cs="Arial"/>
      <w:b/>
      <w:bCs/>
      <w:sz w:val="12"/>
      <w:szCs w:val="12"/>
      <w:lang w:val="en-US"/>
    </w:rPr>
  </w:style>
  <w:style w:type="paragraph" w:customStyle="1" w:styleId="xl55">
    <w:name w:val="xl55"/>
    <w:basedOn w:val="Normal"/>
    <w:rsid w:val="0054574A"/>
    <w:pPr>
      <w:pBdr>
        <w:lef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a">
    <w:name w:val="a"/>
    <w:basedOn w:val="Normal"/>
    <w:rsid w:val="0054574A"/>
    <w:pPr>
      <w:spacing w:before="100" w:beforeAutospacing="1" w:after="100" w:afterAutospacing="1"/>
    </w:pPr>
    <w:rPr>
      <w:rFonts w:ascii="Verdana" w:hAnsi="Verdana"/>
      <w:b/>
      <w:bCs/>
      <w:color w:val="004B87"/>
      <w:sz w:val="15"/>
      <w:szCs w:val="15"/>
      <w:lang w:val="es-ES" w:eastAsia="es-ES"/>
    </w:rPr>
  </w:style>
  <w:style w:type="paragraph" w:customStyle="1" w:styleId="bodytext21">
    <w:name w:val="bodytext21"/>
    <w:basedOn w:val="Normal"/>
    <w:rsid w:val="0054574A"/>
    <w:pPr>
      <w:spacing w:before="100" w:beforeAutospacing="1" w:after="100" w:afterAutospacing="1"/>
    </w:pPr>
    <w:rPr>
      <w:color w:val="000000"/>
      <w:lang w:val="en-US"/>
    </w:rPr>
  </w:style>
  <w:style w:type="paragraph" w:customStyle="1" w:styleId="bodytext3">
    <w:name w:val="bodytext3"/>
    <w:basedOn w:val="Normal"/>
    <w:rsid w:val="0054574A"/>
    <w:pPr>
      <w:spacing w:before="100" w:beforeAutospacing="1" w:after="100" w:afterAutospacing="1"/>
    </w:pPr>
    <w:rPr>
      <w:color w:val="000000"/>
      <w:lang w:val="en-US"/>
    </w:rPr>
  </w:style>
  <w:style w:type="paragraph" w:customStyle="1" w:styleId="bodytext20">
    <w:name w:val="bodytext20"/>
    <w:basedOn w:val="Normal"/>
    <w:rsid w:val="0054574A"/>
    <w:pPr>
      <w:spacing w:before="100" w:beforeAutospacing="1" w:after="100" w:afterAutospacing="1"/>
    </w:pPr>
    <w:rPr>
      <w:color w:val="000000"/>
      <w:lang w:val="en-US"/>
    </w:rPr>
  </w:style>
  <w:style w:type="paragraph" w:customStyle="1" w:styleId="TtuloIndice">
    <w:name w:val="TítuloIndice"/>
    <w:basedOn w:val="Normal"/>
    <w:next w:val="Normal"/>
    <w:rsid w:val="0054574A"/>
    <w:pPr>
      <w:pBdr>
        <w:bottom w:val="double" w:sz="6" w:space="1" w:color="auto"/>
      </w:pBdr>
      <w:jc w:val="center"/>
    </w:pPr>
    <w:rPr>
      <w:rFonts w:ascii="Impact" w:hAnsi="Impact"/>
      <w:sz w:val="56"/>
      <w:szCs w:val="20"/>
      <w:lang w:val="es-ES_tradnl"/>
    </w:rPr>
  </w:style>
  <w:style w:type="paragraph" w:customStyle="1" w:styleId="Estilo1">
    <w:name w:val="Estilo1"/>
    <w:basedOn w:val="Ttulo1"/>
    <w:next w:val="a"/>
    <w:autoRedefine/>
    <w:rsid w:val="0054574A"/>
    <w:pPr>
      <w:jc w:val="left"/>
    </w:pPr>
  </w:style>
  <w:style w:type="paragraph" w:customStyle="1" w:styleId="EstiloTtulo1Izquierda">
    <w:name w:val="Estilo Título 1 + Izquierda"/>
    <w:aliases w:val="Negrita"/>
    <w:basedOn w:val="Ttulo1"/>
    <w:autoRedefine/>
    <w:rsid w:val="0054574A"/>
    <w:pPr>
      <w:jc w:val="left"/>
    </w:pPr>
  </w:style>
  <w:style w:type="paragraph" w:customStyle="1" w:styleId="font5">
    <w:name w:val="font5"/>
    <w:basedOn w:val="Normal"/>
    <w:rsid w:val="0054574A"/>
    <w:pPr>
      <w:spacing w:before="100" w:beforeAutospacing="1" w:after="100" w:afterAutospacing="1"/>
    </w:pPr>
    <w:rPr>
      <w:rFonts w:ascii="Arial" w:eastAsia="Arial Unicode MS" w:hAnsi="Arial" w:cs="Arial"/>
      <w:b/>
      <w:bCs/>
      <w:sz w:val="20"/>
      <w:szCs w:val="20"/>
      <w:lang w:val="en-US"/>
    </w:rPr>
  </w:style>
  <w:style w:type="paragraph" w:customStyle="1" w:styleId="Titulo1">
    <w:name w:val="Titulo 1"/>
    <w:basedOn w:val="Ttulo1"/>
    <w:autoRedefine/>
    <w:rsid w:val="0054574A"/>
    <w:pPr>
      <w:tabs>
        <w:tab w:val="num" w:pos="1620"/>
      </w:tabs>
      <w:suppressAutoHyphens w:val="0"/>
      <w:ind w:left="180"/>
      <w:jc w:val="left"/>
    </w:pPr>
    <w:rPr>
      <w:rFonts w:ascii="Tahoma" w:hAnsi="Tahoma" w:cs="Tahoma"/>
      <w:spacing w:val="0"/>
      <w:sz w:val="22"/>
      <w:szCs w:val="24"/>
      <w:lang w:val="es-ES" w:bidi="ar-SA"/>
    </w:rPr>
  </w:style>
  <w:style w:type="paragraph" w:customStyle="1" w:styleId="EstiloCarCarArial7pt">
    <w:name w:val="Estilo  Car Car + Arial 7 pt"/>
    <w:basedOn w:val="Titulo1"/>
    <w:autoRedefine/>
    <w:rsid w:val="0054574A"/>
    <w:rPr>
      <w:rFonts w:ascii="Arial" w:hAnsi="Arial"/>
      <w:sz w:val="14"/>
      <w:szCs w:val="22"/>
    </w:rPr>
  </w:style>
  <w:style w:type="paragraph" w:customStyle="1" w:styleId="Default">
    <w:name w:val="Default"/>
    <w:rsid w:val="0054574A"/>
    <w:pPr>
      <w:autoSpaceDE w:val="0"/>
      <w:autoSpaceDN w:val="0"/>
      <w:adjustRightInd w:val="0"/>
    </w:pPr>
    <w:rPr>
      <w:color w:val="000000"/>
      <w:sz w:val="24"/>
      <w:szCs w:val="24"/>
      <w:lang w:val="en-US" w:eastAsia="en-US"/>
    </w:rPr>
  </w:style>
  <w:style w:type="paragraph" w:styleId="Prrafodelista">
    <w:name w:val="List Paragraph"/>
    <w:basedOn w:val="Normal"/>
    <w:uiPriority w:val="34"/>
    <w:qFormat/>
    <w:rsid w:val="0054574A"/>
    <w:pPr>
      <w:spacing w:after="200" w:line="276" w:lineRule="auto"/>
      <w:ind w:left="720"/>
      <w:contextualSpacing/>
    </w:pPr>
    <w:rPr>
      <w:rFonts w:ascii="Calibri" w:eastAsia="Calibri" w:hAnsi="Calibri"/>
      <w:sz w:val="22"/>
      <w:szCs w:val="22"/>
      <w:lang w:val="es-ES"/>
    </w:rPr>
  </w:style>
  <w:style w:type="character" w:customStyle="1" w:styleId="Tcnico1">
    <w:name w:val="TÀ)Àcnico 1"/>
    <w:basedOn w:val="Fuentedeprrafopredeter"/>
    <w:rsid w:val="0054574A"/>
    <w:rPr>
      <w:rFonts w:ascii="Courier New" w:hAnsi="Courier New" w:cs="Courier New" w:hint="default"/>
      <w:noProof w:val="0"/>
      <w:sz w:val="24"/>
      <w:lang w:val="en-US"/>
    </w:rPr>
  </w:style>
  <w:style w:type="character" w:customStyle="1" w:styleId="CarCar">
    <w:name w:val="Car Car"/>
    <w:basedOn w:val="Fuentedeprrafopredeter"/>
    <w:rsid w:val="0054574A"/>
    <w:rPr>
      <w:rFonts w:ascii="Tahoma" w:hAnsi="Tahoma" w:cs="Tahoma" w:hint="default"/>
      <w:b/>
      <w:bCs/>
      <w:sz w:val="22"/>
      <w:szCs w:val="24"/>
      <w:lang w:val="es-DO" w:eastAsia="es-ES" w:bidi="ar-SA"/>
    </w:rPr>
  </w:style>
  <w:style w:type="paragraph" w:styleId="Textodeglobo">
    <w:name w:val="Balloon Text"/>
    <w:basedOn w:val="Normal"/>
    <w:link w:val="TextodegloboCar"/>
    <w:rsid w:val="001200B2"/>
    <w:rPr>
      <w:rFonts w:ascii="Tahoma" w:hAnsi="Tahoma" w:cs="Tahoma"/>
      <w:sz w:val="16"/>
      <w:szCs w:val="16"/>
    </w:rPr>
  </w:style>
  <w:style w:type="character" w:customStyle="1" w:styleId="TextodegloboCar">
    <w:name w:val="Texto de globo Car"/>
    <w:basedOn w:val="Fuentedeprrafopredeter"/>
    <w:link w:val="Textodeglobo"/>
    <w:rsid w:val="001200B2"/>
    <w:rPr>
      <w:rFonts w:ascii="Tahoma" w:hAnsi="Tahoma" w:cs="Tahoma"/>
      <w:sz w:val="16"/>
      <w:szCs w:val="16"/>
      <w:lang w:eastAsia="en-US"/>
    </w:rPr>
  </w:style>
  <w:style w:type="paragraph" w:styleId="Mapadeldocumento">
    <w:name w:val="Document Map"/>
    <w:basedOn w:val="Normal"/>
    <w:link w:val="MapadeldocumentoCar"/>
    <w:rsid w:val="005160DD"/>
    <w:rPr>
      <w:rFonts w:ascii="Tahoma" w:hAnsi="Tahoma" w:cs="Tahoma"/>
      <w:sz w:val="16"/>
      <w:szCs w:val="16"/>
    </w:rPr>
  </w:style>
  <w:style w:type="character" w:customStyle="1" w:styleId="MapadeldocumentoCar">
    <w:name w:val="Mapa del documento Car"/>
    <w:basedOn w:val="Fuentedeprrafopredeter"/>
    <w:link w:val="Mapadeldocumento"/>
    <w:rsid w:val="005160DD"/>
    <w:rPr>
      <w:rFonts w:ascii="Tahoma" w:hAnsi="Tahoma" w:cs="Tahoma"/>
      <w:sz w:val="16"/>
      <w:szCs w:val="16"/>
      <w:lang w:eastAsia="en-US"/>
    </w:rPr>
  </w:style>
  <w:style w:type="paragraph" w:styleId="Sinespaciado">
    <w:name w:val="No Spacing"/>
    <w:uiPriority w:val="1"/>
    <w:qFormat/>
    <w:rsid w:val="000A5B00"/>
    <w:rPr>
      <w:rFonts w:asciiTheme="minorHAnsi" w:eastAsiaTheme="minorHAnsi" w:hAnsiTheme="minorHAnsi" w:cstheme="minorBidi"/>
      <w:sz w:val="22"/>
      <w:szCs w:val="22"/>
      <w:lang w:eastAsia="en-US"/>
    </w:rPr>
  </w:style>
  <w:style w:type="table" w:styleId="Tablaconcuadrcula">
    <w:name w:val="Table Grid"/>
    <w:basedOn w:val="Tablanormal"/>
    <w:uiPriority w:val="59"/>
    <w:rsid w:val="000A5B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rsid w:val="00A23EF3"/>
  </w:style>
  <w:style w:type="character" w:customStyle="1" w:styleId="PiedepginaCar">
    <w:name w:val="Pie de página Car"/>
    <w:basedOn w:val="Fuentedeprrafopredeter"/>
    <w:link w:val="Piedepgina"/>
    <w:uiPriority w:val="99"/>
    <w:rsid w:val="00A23EF3"/>
    <w:rPr>
      <w:sz w:val="24"/>
      <w:szCs w:val="24"/>
      <w:lang w:eastAsia="en-US"/>
    </w:rPr>
  </w:style>
  <w:style w:type="character" w:customStyle="1" w:styleId="EncabezadoCar">
    <w:name w:val="Encabezado Car"/>
    <w:basedOn w:val="Fuentedeprrafopredeter"/>
    <w:link w:val="Encabezado"/>
    <w:uiPriority w:val="99"/>
    <w:rsid w:val="0056627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3756">
      <w:bodyDiv w:val="1"/>
      <w:marLeft w:val="0"/>
      <w:marRight w:val="0"/>
      <w:marTop w:val="0"/>
      <w:marBottom w:val="0"/>
      <w:divBdr>
        <w:top w:val="none" w:sz="0" w:space="0" w:color="auto"/>
        <w:left w:val="none" w:sz="0" w:space="0" w:color="auto"/>
        <w:bottom w:val="none" w:sz="0" w:space="0" w:color="auto"/>
        <w:right w:val="none" w:sz="0" w:space="0" w:color="auto"/>
      </w:divBdr>
    </w:div>
    <w:div w:id="43217738">
      <w:bodyDiv w:val="1"/>
      <w:marLeft w:val="0"/>
      <w:marRight w:val="0"/>
      <w:marTop w:val="0"/>
      <w:marBottom w:val="0"/>
      <w:divBdr>
        <w:top w:val="none" w:sz="0" w:space="0" w:color="auto"/>
        <w:left w:val="none" w:sz="0" w:space="0" w:color="auto"/>
        <w:bottom w:val="none" w:sz="0" w:space="0" w:color="auto"/>
        <w:right w:val="none" w:sz="0" w:space="0" w:color="auto"/>
      </w:divBdr>
    </w:div>
    <w:div w:id="48384688">
      <w:bodyDiv w:val="1"/>
      <w:marLeft w:val="0"/>
      <w:marRight w:val="0"/>
      <w:marTop w:val="0"/>
      <w:marBottom w:val="0"/>
      <w:divBdr>
        <w:top w:val="none" w:sz="0" w:space="0" w:color="auto"/>
        <w:left w:val="none" w:sz="0" w:space="0" w:color="auto"/>
        <w:bottom w:val="none" w:sz="0" w:space="0" w:color="auto"/>
        <w:right w:val="none" w:sz="0" w:space="0" w:color="auto"/>
      </w:divBdr>
    </w:div>
    <w:div w:id="53889876">
      <w:bodyDiv w:val="1"/>
      <w:marLeft w:val="0"/>
      <w:marRight w:val="0"/>
      <w:marTop w:val="0"/>
      <w:marBottom w:val="0"/>
      <w:divBdr>
        <w:top w:val="none" w:sz="0" w:space="0" w:color="auto"/>
        <w:left w:val="none" w:sz="0" w:space="0" w:color="auto"/>
        <w:bottom w:val="none" w:sz="0" w:space="0" w:color="auto"/>
        <w:right w:val="none" w:sz="0" w:space="0" w:color="auto"/>
      </w:divBdr>
    </w:div>
    <w:div w:id="89814172">
      <w:bodyDiv w:val="1"/>
      <w:marLeft w:val="0"/>
      <w:marRight w:val="0"/>
      <w:marTop w:val="0"/>
      <w:marBottom w:val="0"/>
      <w:divBdr>
        <w:top w:val="none" w:sz="0" w:space="0" w:color="auto"/>
        <w:left w:val="none" w:sz="0" w:space="0" w:color="auto"/>
        <w:bottom w:val="none" w:sz="0" w:space="0" w:color="auto"/>
        <w:right w:val="none" w:sz="0" w:space="0" w:color="auto"/>
      </w:divBdr>
    </w:div>
    <w:div w:id="114720118">
      <w:bodyDiv w:val="1"/>
      <w:marLeft w:val="0"/>
      <w:marRight w:val="0"/>
      <w:marTop w:val="0"/>
      <w:marBottom w:val="0"/>
      <w:divBdr>
        <w:top w:val="none" w:sz="0" w:space="0" w:color="auto"/>
        <w:left w:val="none" w:sz="0" w:space="0" w:color="auto"/>
        <w:bottom w:val="none" w:sz="0" w:space="0" w:color="auto"/>
        <w:right w:val="none" w:sz="0" w:space="0" w:color="auto"/>
      </w:divBdr>
    </w:div>
    <w:div w:id="117114475">
      <w:bodyDiv w:val="1"/>
      <w:marLeft w:val="0"/>
      <w:marRight w:val="0"/>
      <w:marTop w:val="0"/>
      <w:marBottom w:val="0"/>
      <w:divBdr>
        <w:top w:val="none" w:sz="0" w:space="0" w:color="auto"/>
        <w:left w:val="none" w:sz="0" w:space="0" w:color="auto"/>
        <w:bottom w:val="none" w:sz="0" w:space="0" w:color="auto"/>
        <w:right w:val="none" w:sz="0" w:space="0" w:color="auto"/>
      </w:divBdr>
    </w:div>
    <w:div w:id="128979024">
      <w:bodyDiv w:val="1"/>
      <w:marLeft w:val="0"/>
      <w:marRight w:val="0"/>
      <w:marTop w:val="0"/>
      <w:marBottom w:val="0"/>
      <w:divBdr>
        <w:top w:val="none" w:sz="0" w:space="0" w:color="auto"/>
        <w:left w:val="none" w:sz="0" w:space="0" w:color="auto"/>
        <w:bottom w:val="none" w:sz="0" w:space="0" w:color="auto"/>
        <w:right w:val="none" w:sz="0" w:space="0" w:color="auto"/>
      </w:divBdr>
    </w:div>
    <w:div w:id="180976884">
      <w:bodyDiv w:val="1"/>
      <w:marLeft w:val="0"/>
      <w:marRight w:val="0"/>
      <w:marTop w:val="0"/>
      <w:marBottom w:val="0"/>
      <w:divBdr>
        <w:top w:val="none" w:sz="0" w:space="0" w:color="auto"/>
        <w:left w:val="none" w:sz="0" w:space="0" w:color="auto"/>
        <w:bottom w:val="none" w:sz="0" w:space="0" w:color="auto"/>
        <w:right w:val="none" w:sz="0" w:space="0" w:color="auto"/>
      </w:divBdr>
    </w:div>
    <w:div w:id="184952627">
      <w:bodyDiv w:val="1"/>
      <w:marLeft w:val="0"/>
      <w:marRight w:val="0"/>
      <w:marTop w:val="0"/>
      <w:marBottom w:val="0"/>
      <w:divBdr>
        <w:top w:val="none" w:sz="0" w:space="0" w:color="auto"/>
        <w:left w:val="none" w:sz="0" w:space="0" w:color="auto"/>
        <w:bottom w:val="none" w:sz="0" w:space="0" w:color="auto"/>
        <w:right w:val="none" w:sz="0" w:space="0" w:color="auto"/>
      </w:divBdr>
    </w:div>
    <w:div w:id="206262016">
      <w:bodyDiv w:val="1"/>
      <w:marLeft w:val="0"/>
      <w:marRight w:val="0"/>
      <w:marTop w:val="0"/>
      <w:marBottom w:val="0"/>
      <w:divBdr>
        <w:top w:val="none" w:sz="0" w:space="0" w:color="auto"/>
        <w:left w:val="none" w:sz="0" w:space="0" w:color="auto"/>
        <w:bottom w:val="none" w:sz="0" w:space="0" w:color="auto"/>
        <w:right w:val="none" w:sz="0" w:space="0" w:color="auto"/>
      </w:divBdr>
    </w:div>
    <w:div w:id="206719254">
      <w:bodyDiv w:val="1"/>
      <w:marLeft w:val="0"/>
      <w:marRight w:val="0"/>
      <w:marTop w:val="0"/>
      <w:marBottom w:val="0"/>
      <w:divBdr>
        <w:top w:val="none" w:sz="0" w:space="0" w:color="auto"/>
        <w:left w:val="none" w:sz="0" w:space="0" w:color="auto"/>
        <w:bottom w:val="none" w:sz="0" w:space="0" w:color="auto"/>
        <w:right w:val="none" w:sz="0" w:space="0" w:color="auto"/>
      </w:divBdr>
    </w:div>
    <w:div w:id="211117330">
      <w:bodyDiv w:val="1"/>
      <w:marLeft w:val="0"/>
      <w:marRight w:val="0"/>
      <w:marTop w:val="0"/>
      <w:marBottom w:val="0"/>
      <w:divBdr>
        <w:top w:val="none" w:sz="0" w:space="0" w:color="auto"/>
        <w:left w:val="none" w:sz="0" w:space="0" w:color="auto"/>
        <w:bottom w:val="none" w:sz="0" w:space="0" w:color="auto"/>
        <w:right w:val="none" w:sz="0" w:space="0" w:color="auto"/>
      </w:divBdr>
    </w:div>
    <w:div w:id="259728514">
      <w:bodyDiv w:val="1"/>
      <w:marLeft w:val="0"/>
      <w:marRight w:val="0"/>
      <w:marTop w:val="0"/>
      <w:marBottom w:val="0"/>
      <w:divBdr>
        <w:top w:val="none" w:sz="0" w:space="0" w:color="auto"/>
        <w:left w:val="none" w:sz="0" w:space="0" w:color="auto"/>
        <w:bottom w:val="none" w:sz="0" w:space="0" w:color="auto"/>
        <w:right w:val="none" w:sz="0" w:space="0" w:color="auto"/>
      </w:divBdr>
    </w:div>
    <w:div w:id="263419745">
      <w:bodyDiv w:val="1"/>
      <w:marLeft w:val="0"/>
      <w:marRight w:val="0"/>
      <w:marTop w:val="0"/>
      <w:marBottom w:val="0"/>
      <w:divBdr>
        <w:top w:val="none" w:sz="0" w:space="0" w:color="auto"/>
        <w:left w:val="none" w:sz="0" w:space="0" w:color="auto"/>
        <w:bottom w:val="none" w:sz="0" w:space="0" w:color="auto"/>
        <w:right w:val="none" w:sz="0" w:space="0" w:color="auto"/>
      </w:divBdr>
    </w:div>
    <w:div w:id="325673347">
      <w:bodyDiv w:val="1"/>
      <w:marLeft w:val="0"/>
      <w:marRight w:val="0"/>
      <w:marTop w:val="0"/>
      <w:marBottom w:val="0"/>
      <w:divBdr>
        <w:top w:val="none" w:sz="0" w:space="0" w:color="auto"/>
        <w:left w:val="none" w:sz="0" w:space="0" w:color="auto"/>
        <w:bottom w:val="none" w:sz="0" w:space="0" w:color="auto"/>
        <w:right w:val="none" w:sz="0" w:space="0" w:color="auto"/>
      </w:divBdr>
    </w:div>
    <w:div w:id="368574943">
      <w:bodyDiv w:val="1"/>
      <w:marLeft w:val="0"/>
      <w:marRight w:val="0"/>
      <w:marTop w:val="0"/>
      <w:marBottom w:val="0"/>
      <w:divBdr>
        <w:top w:val="none" w:sz="0" w:space="0" w:color="auto"/>
        <w:left w:val="none" w:sz="0" w:space="0" w:color="auto"/>
        <w:bottom w:val="none" w:sz="0" w:space="0" w:color="auto"/>
        <w:right w:val="none" w:sz="0" w:space="0" w:color="auto"/>
      </w:divBdr>
    </w:div>
    <w:div w:id="446243577">
      <w:bodyDiv w:val="1"/>
      <w:marLeft w:val="0"/>
      <w:marRight w:val="0"/>
      <w:marTop w:val="0"/>
      <w:marBottom w:val="0"/>
      <w:divBdr>
        <w:top w:val="none" w:sz="0" w:space="0" w:color="auto"/>
        <w:left w:val="none" w:sz="0" w:space="0" w:color="auto"/>
        <w:bottom w:val="none" w:sz="0" w:space="0" w:color="auto"/>
        <w:right w:val="none" w:sz="0" w:space="0" w:color="auto"/>
      </w:divBdr>
    </w:div>
    <w:div w:id="456686679">
      <w:bodyDiv w:val="1"/>
      <w:marLeft w:val="0"/>
      <w:marRight w:val="0"/>
      <w:marTop w:val="0"/>
      <w:marBottom w:val="0"/>
      <w:divBdr>
        <w:top w:val="none" w:sz="0" w:space="0" w:color="auto"/>
        <w:left w:val="none" w:sz="0" w:space="0" w:color="auto"/>
        <w:bottom w:val="none" w:sz="0" w:space="0" w:color="auto"/>
        <w:right w:val="none" w:sz="0" w:space="0" w:color="auto"/>
      </w:divBdr>
    </w:div>
    <w:div w:id="487553674">
      <w:bodyDiv w:val="1"/>
      <w:marLeft w:val="0"/>
      <w:marRight w:val="0"/>
      <w:marTop w:val="0"/>
      <w:marBottom w:val="0"/>
      <w:divBdr>
        <w:top w:val="none" w:sz="0" w:space="0" w:color="auto"/>
        <w:left w:val="none" w:sz="0" w:space="0" w:color="auto"/>
        <w:bottom w:val="none" w:sz="0" w:space="0" w:color="auto"/>
        <w:right w:val="none" w:sz="0" w:space="0" w:color="auto"/>
      </w:divBdr>
    </w:div>
    <w:div w:id="501706099">
      <w:bodyDiv w:val="1"/>
      <w:marLeft w:val="0"/>
      <w:marRight w:val="0"/>
      <w:marTop w:val="0"/>
      <w:marBottom w:val="0"/>
      <w:divBdr>
        <w:top w:val="none" w:sz="0" w:space="0" w:color="auto"/>
        <w:left w:val="none" w:sz="0" w:space="0" w:color="auto"/>
        <w:bottom w:val="none" w:sz="0" w:space="0" w:color="auto"/>
        <w:right w:val="none" w:sz="0" w:space="0" w:color="auto"/>
      </w:divBdr>
    </w:div>
    <w:div w:id="558322561">
      <w:bodyDiv w:val="1"/>
      <w:marLeft w:val="0"/>
      <w:marRight w:val="0"/>
      <w:marTop w:val="0"/>
      <w:marBottom w:val="0"/>
      <w:divBdr>
        <w:top w:val="none" w:sz="0" w:space="0" w:color="auto"/>
        <w:left w:val="none" w:sz="0" w:space="0" w:color="auto"/>
        <w:bottom w:val="none" w:sz="0" w:space="0" w:color="auto"/>
        <w:right w:val="none" w:sz="0" w:space="0" w:color="auto"/>
      </w:divBdr>
    </w:div>
    <w:div w:id="609704544">
      <w:bodyDiv w:val="1"/>
      <w:marLeft w:val="0"/>
      <w:marRight w:val="0"/>
      <w:marTop w:val="0"/>
      <w:marBottom w:val="0"/>
      <w:divBdr>
        <w:top w:val="none" w:sz="0" w:space="0" w:color="auto"/>
        <w:left w:val="none" w:sz="0" w:space="0" w:color="auto"/>
        <w:bottom w:val="none" w:sz="0" w:space="0" w:color="auto"/>
        <w:right w:val="none" w:sz="0" w:space="0" w:color="auto"/>
      </w:divBdr>
    </w:div>
    <w:div w:id="627125237">
      <w:bodyDiv w:val="1"/>
      <w:marLeft w:val="0"/>
      <w:marRight w:val="0"/>
      <w:marTop w:val="0"/>
      <w:marBottom w:val="0"/>
      <w:divBdr>
        <w:top w:val="none" w:sz="0" w:space="0" w:color="auto"/>
        <w:left w:val="none" w:sz="0" w:space="0" w:color="auto"/>
        <w:bottom w:val="none" w:sz="0" w:space="0" w:color="auto"/>
        <w:right w:val="none" w:sz="0" w:space="0" w:color="auto"/>
      </w:divBdr>
    </w:div>
    <w:div w:id="651056423">
      <w:bodyDiv w:val="1"/>
      <w:marLeft w:val="0"/>
      <w:marRight w:val="0"/>
      <w:marTop w:val="0"/>
      <w:marBottom w:val="0"/>
      <w:divBdr>
        <w:top w:val="none" w:sz="0" w:space="0" w:color="auto"/>
        <w:left w:val="none" w:sz="0" w:space="0" w:color="auto"/>
        <w:bottom w:val="none" w:sz="0" w:space="0" w:color="auto"/>
        <w:right w:val="none" w:sz="0" w:space="0" w:color="auto"/>
      </w:divBdr>
    </w:div>
    <w:div w:id="660239213">
      <w:bodyDiv w:val="1"/>
      <w:marLeft w:val="0"/>
      <w:marRight w:val="0"/>
      <w:marTop w:val="0"/>
      <w:marBottom w:val="0"/>
      <w:divBdr>
        <w:top w:val="none" w:sz="0" w:space="0" w:color="auto"/>
        <w:left w:val="none" w:sz="0" w:space="0" w:color="auto"/>
        <w:bottom w:val="none" w:sz="0" w:space="0" w:color="auto"/>
        <w:right w:val="none" w:sz="0" w:space="0" w:color="auto"/>
      </w:divBdr>
    </w:div>
    <w:div w:id="691221715">
      <w:bodyDiv w:val="1"/>
      <w:marLeft w:val="0"/>
      <w:marRight w:val="0"/>
      <w:marTop w:val="0"/>
      <w:marBottom w:val="0"/>
      <w:divBdr>
        <w:top w:val="none" w:sz="0" w:space="0" w:color="auto"/>
        <w:left w:val="none" w:sz="0" w:space="0" w:color="auto"/>
        <w:bottom w:val="none" w:sz="0" w:space="0" w:color="auto"/>
        <w:right w:val="none" w:sz="0" w:space="0" w:color="auto"/>
      </w:divBdr>
    </w:div>
    <w:div w:id="697971494">
      <w:bodyDiv w:val="1"/>
      <w:marLeft w:val="0"/>
      <w:marRight w:val="0"/>
      <w:marTop w:val="0"/>
      <w:marBottom w:val="0"/>
      <w:divBdr>
        <w:top w:val="none" w:sz="0" w:space="0" w:color="auto"/>
        <w:left w:val="none" w:sz="0" w:space="0" w:color="auto"/>
        <w:bottom w:val="none" w:sz="0" w:space="0" w:color="auto"/>
        <w:right w:val="none" w:sz="0" w:space="0" w:color="auto"/>
      </w:divBdr>
    </w:div>
    <w:div w:id="782505509">
      <w:bodyDiv w:val="1"/>
      <w:marLeft w:val="0"/>
      <w:marRight w:val="0"/>
      <w:marTop w:val="0"/>
      <w:marBottom w:val="0"/>
      <w:divBdr>
        <w:top w:val="none" w:sz="0" w:space="0" w:color="auto"/>
        <w:left w:val="none" w:sz="0" w:space="0" w:color="auto"/>
        <w:bottom w:val="none" w:sz="0" w:space="0" w:color="auto"/>
        <w:right w:val="none" w:sz="0" w:space="0" w:color="auto"/>
      </w:divBdr>
    </w:div>
    <w:div w:id="784808216">
      <w:bodyDiv w:val="1"/>
      <w:marLeft w:val="0"/>
      <w:marRight w:val="0"/>
      <w:marTop w:val="0"/>
      <w:marBottom w:val="0"/>
      <w:divBdr>
        <w:top w:val="none" w:sz="0" w:space="0" w:color="auto"/>
        <w:left w:val="none" w:sz="0" w:space="0" w:color="auto"/>
        <w:bottom w:val="none" w:sz="0" w:space="0" w:color="auto"/>
        <w:right w:val="none" w:sz="0" w:space="0" w:color="auto"/>
      </w:divBdr>
    </w:div>
    <w:div w:id="802118881">
      <w:bodyDiv w:val="1"/>
      <w:marLeft w:val="0"/>
      <w:marRight w:val="0"/>
      <w:marTop w:val="0"/>
      <w:marBottom w:val="0"/>
      <w:divBdr>
        <w:top w:val="none" w:sz="0" w:space="0" w:color="auto"/>
        <w:left w:val="none" w:sz="0" w:space="0" w:color="auto"/>
        <w:bottom w:val="none" w:sz="0" w:space="0" w:color="auto"/>
        <w:right w:val="none" w:sz="0" w:space="0" w:color="auto"/>
      </w:divBdr>
    </w:div>
    <w:div w:id="806819996">
      <w:bodyDiv w:val="1"/>
      <w:marLeft w:val="0"/>
      <w:marRight w:val="0"/>
      <w:marTop w:val="0"/>
      <w:marBottom w:val="0"/>
      <w:divBdr>
        <w:top w:val="none" w:sz="0" w:space="0" w:color="auto"/>
        <w:left w:val="none" w:sz="0" w:space="0" w:color="auto"/>
        <w:bottom w:val="none" w:sz="0" w:space="0" w:color="auto"/>
        <w:right w:val="none" w:sz="0" w:space="0" w:color="auto"/>
      </w:divBdr>
    </w:div>
    <w:div w:id="827792316">
      <w:bodyDiv w:val="1"/>
      <w:marLeft w:val="0"/>
      <w:marRight w:val="0"/>
      <w:marTop w:val="0"/>
      <w:marBottom w:val="0"/>
      <w:divBdr>
        <w:top w:val="none" w:sz="0" w:space="0" w:color="auto"/>
        <w:left w:val="none" w:sz="0" w:space="0" w:color="auto"/>
        <w:bottom w:val="none" w:sz="0" w:space="0" w:color="auto"/>
        <w:right w:val="none" w:sz="0" w:space="0" w:color="auto"/>
      </w:divBdr>
    </w:div>
    <w:div w:id="905147392">
      <w:bodyDiv w:val="1"/>
      <w:marLeft w:val="0"/>
      <w:marRight w:val="0"/>
      <w:marTop w:val="0"/>
      <w:marBottom w:val="0"/>
      <w:divBdr>
        <w:top w:val="none" w:sz="0" w:space="0" w:color="auto"/>
        <w:left w:val="none" w:sz="0" w:space="0" w:color="auto"/>
        <w:bottom w:val="none" w:sz="0" w:space="0" w:color="auto"/>
        <w:right w:val="none" w:sz="0" w:space="0" w:color="auto"/>
      </w:divBdr>
    </w:div>
    <w:div w:id="925309950">
      <w:bodyDiv w:val="1"/>
      <w:marLeft w:val="0"/>
      <w:marRight w:val="0"/>
      <w:marTop w:val="0"/>
      <w:marBottom w:val="0"/>
      <w:divBdr>
        <w:top w:val="none" w:sz="0" w:space="0" w:color="auto"/>
        <w:left w:val="none" w:sz="0" w:space="0" w:color="auto"/>
        <w:bottom w:val="none" w:sz="0" w:space="0" w:color="auto"/>
        <w:right w:val="none" w:sz="0" w:space="0" w:color="auto"/>
      </w:divBdr>
    </w:div>
    <w:div w:id="952518757">
      <w:bodyDiv w:val="1"/>
      <w:marLeft w:val="0"/>
      <w:marRight w:val="0"/>
      <w:marTop w:val="0"/>
      <w:marBottom w:val="0"/>
      <w:divBdr>
        <w:top w:val="none" w:sz="0" w:space="0" w:color="auto"/>
        <w:left w:val="none" w:sz="0" w:space="0" w:color="auto"/>
        <w:bottom w:val="none" w:sz="0" w:space="0" w:color="auto"/>
        <w:right w:val="none" w:sz="0" w:space="0" w:color="auto"/>
      </w:divBdr>
    </w:div>
    <w:div w:id="964584461">
      <w:bodyDiv w:val="1"/>
      <w:marLeft w:val="0"/>
      <w:marRight w:val="0"/>
      <w:marTop w:val="0"/>
      <w:marBottom w:val="0"/>
      <w:divBdr>
        <w:top w:val="none" w:sz="0" w:space="0" w:color="auto"/>
        <w:left w:val="none" w:sz="0" w:space="0" w:color="auto"/>
        <w:bottom w:val="none" w:sz="0" w:space="0" w:color="auto"/>
        <w:right w:val="none" w:sz="0" w:space="0" w:color="auto"/>
      </w:divBdr>
    </w:div>
    <w:div w:id="968823549">
      <w:bodyDiv w:val="1"/>
      <w:marLeft w:val="0"/>
      <w:marRight w:val="0"/>
      <w:marTop w:val="0"/>
      <w:marBottom w:val="0"/>
      <w:divBdr>
        <w:top w:val="none" w:sz="0" w:space="0" w:color="auto"/>
        <w:left w:val="none" w:sz="0" w:space="0" w:color="auto"/>
        <w:bottom w:val="none" w:sz="0" w:space="0" w:color="auto"/>
        <w:right w:val="none" w:sz="0" w:space="0" w:color="auto"/>
      </w:divBdr>
    </w:div>
    <w:div w:id="995569755">
      <w:bodyDiv w:val="1"/>
      <w:marLeft w:val="0"/>
      <w:marRight w:val="0"/>
      <w:marTop w:val="0"/>
      <w:marBottom w:val="0"/>
      <w:divBdr>
        <w:top w:val="none" w:sz="0" w:space="0" w:color="auto"/>
        <w:left w:val="none" w:sz="0" w:space="0" w:color="auto"/>
        <w:bottom w:val="none" w:sz="0" w:space="0" w:color="auto"/>
        <w:right w:val="none" w:sz="0" w:space="0" w:color="auto"/>
      </w:divBdr>
    </w:div>
    <w:div w:id="1012414779">
      <w:bodyDiv w:val="1"/>
      <w:marLeft w:val="0"/>
      <w:marRight w:val="0"/>
      <w:marTop w:val="0"/>
      <w:marBottom w:val="0"/>
      <w:divBdr>
        <w:top w:val="none" w:sz="0" w:space="0" w:color="auto"/>
        <w:left w:val="none" w:sz="0" w:space="0" w:color="auto"/>
        <w:bottom w:val="none" w:sz="0" w:space="0" w:color="auto"/>
        <w:right w:val="none" w:sz="0" w:space="0" w:color="auto"/>
      </w:divBdr>
    </w:div>
    <w:div w:id="1035428242">
      <w:bodyDiv w:val="1"/>
      <w:marLeft w:val="0"/>
      <w:marRight w:val="0"/>
      <w:marTop w:val="0"/>
      <w:marBottom w:val="0"/>
      <w:divBdr>
        <w:top w:val="none" w:sz="0" w:space="0" w:color="auto"/>
        <w:left w:val="none" w:sz="0" w:space="0" w:color="auto"/>
        <w:bottom w:val="none" w:sz="0" w:space="0" w:color="auto"/>
        <w:right w:val="none" w:sz="0" w:space="0" w:color="auto"/>
      </w:divBdr>
    </w:div>
    <w:div w:id="1046879718">
      <w:bodyDiv w:val="1"/>
      <w:marLeft w:val="0"/>
      <w:marRight w:val="0"/>
      <w:marTop w:val="0"/>
      <w:marBottom w:val="0"/>
      <w:divBdr>
        <w:top w:val="none" w:sz="0" w:space="0" w:color="auto"/>
        <w:left w:val="none" w:sz="0" w:space="0" w:color="auto"/>
        <w:bottom w:val="none" w:sz="0" w:space="0" w:color="auto"/>
        <w:right w:val="none" w:sz="0" w:space="0" w:color="auto"/>
      </w:divBdr>
    </w:div>
    <w:div w:id="1059548775">
      <w:bodyDiv w:val="1"/>
      <w:marLeft w:val="0"/>
      <w:marRight w:val="0"/>
      <w:marTop w:val="0"/>
      <w:marBottom w:val="0"/>
      <w:divBdr>
        <w:top w:val="none" w:sz="0" w:space="0" w:color="auto"/>
        <w:left w:val="none" w:sz="0" w:space="0" w:color="auto"/>
        <w:bottom w:val="none" w:sz="0" w:space="0" w:color="auto"/>
        <w:right w:val="none" w:sz="0" w:space="0" w:color="auto"/>
      </w:divBdr>
    </w:div>
    <w:div w:id="1082873792">
      <w:bodyDiv w:val="1"/>
      <w:marLeft w:val="0"/>
      <w:marRight w:val="0"/>
      <w:marTop w:val="0"/>
      <w:marBottom w:val="0"/>
      <w:divBdr>
        <w:top w:val="none" w:sz="0" w:space="0" w:color="auto"/>
        <w:left w:val="none" w:sz="0" w:space="0" w:color="auto"/>
        <w:bottom w:val="none" w:sz="0" w:space="0" w:color="auto"/>
        <w:right w:val="none" w:sz="0" w:space="0" w:color="auto"/>
      </w:divBdr>
    </w:div>
    <w:div w:id="1088497889">
      <w:bodyDiv w:val="1"/>
      <w:marLeft w:val="0"/>
      <w:marRight w:val="0"/>
      <w:marTop w:val="0"/>
      <w:marBottom w:val="0"/>
      <w:divBdr>
        <w:top w:val="none" w:sz="0" w:space="0" w:color="auto"/>
        <w:left w:val="none" w:sz="0" w:space="0" w:color="auto"/>
        <w:bottom w:val="none" w:sz="0" w:space="0" w:color="auto"/>
        <w:right w:val="none" w:sz="0" w:space="0" w:color="auto"/>
      </w:divBdr>
    </w:div>
    <w:div w:id="1095903699">
      <w:bodyDiv w:val="1"/>
      <w:marLeft w:val="0"/>
      <w:marRight w:val="0"/>
      <w:marTop w:val="0"/>
      <w:marBottom w:val="0"/>
      <w:divBdr>
        <w:top w:val="none" w:sz="0" w:space="0" w:color="auto"/>
        <w:left w:val="none" w:sz="0" w:space="0" w:color="auto"/>
        <w:bottom w:val="none" w:sz="0" w:space="0" w:color="auto"/>
        <w:right w:val="none" w:sz="0" w:space="0" w:color="auto"/>
      </w:divBdr>
    </w:div>
    <w:div w:id="1097946500">
      <w:bodyDiv w:val="1"/>
      <w:marLeft w:val="0"/>
      <w:marRight w:val="0"/>
      <w:marTop w:val="0"/>
      <w:marBottom w:val="0"/>
      <w:divBdr>
        <w:top w:val="none" w:sz="0" w:space="0" w:color="auto"/>
        <w:left w:val="none" w:sz="0" w:space="0" w:color="auto"/>
        <w:bottom w:val="none" w:sz="0" w:space="0" w:color="auto"/>
        <w:right w:val="none" w:sz="0" w:space="0" w:color="auto"/>
      </w:divBdr>
    </w:div>
    <w:div w:id="1103841419">
      <w:bodyDiv w:val="1"/>
      <w:marLeft w:val="0"/>
      <w:marRight w:val="0"/>
      <w:marTop w:val="0"/>
      <w:marBottom w:val="0"/>
      <w:divBdr>
        <w:top w:val="none" w:sz="0" w:space="0" w:color="auto"/>
        <w:left w:val="none" w:sz="0" w:space="0" w:color="auto"/>
        <w:bottom w:val="none" w:sz="0" w:space="0" w:color="auto"/>
        <w:right w:val="none" w:sz="0" w:space="0" w:color="auto"/>
      </w:divBdr>
    </w:div>
    <w:div w:id="1126309789">
      <w:bodyDiv w:val="1"/>
      <w:marLeft w:val="0"/>
      <w:marRight w:val="0"/>
      <w:marTop w:val="0"/>
      <w:marBottom w:val="0"/>
      <w:divBdr>
        <w:top w:val="none" w:sz="0" w:space="0" w:color="auto"/>
        <w:left w:val="none" w:sz="0" w:space="0" w:color="auto"/>
        <w:bottom w:val="none" w:sz="0" w:space="0" w:color="auto"/>
        <w:right w:val="none" w:sz="0" w:space="0" w:color="auto"/>
      </w:divBdr>
    </w:div>
    <w:div w:id="1135752737">
      <w:bodyDiv w:val="1"/>
      <w:marLeft w:val="0"/>
      <w:marRight w:val="0"/>
      <w:marTop w:val="0"/>
      <w:marBottom w:val="0"/>
      <w:divBdr>
        <w:top w:val="none" w:sz="0" w:space="0" w:color="auto"/>
        <w:left w:val="none" w:sz="0" w:space="0" w:color="auto"/>
        <w:bottom w:val="none" w:sz="0" w:space="0" w:color="auto"/>
        <w:right w:val="none" w:sz="0" w:space="0" w:color="auto"/>
      </w:divBdr>
    </w:div>
    <w:div w:id="1278485112">
      <w:bodyDiv w:val="1"/>
      <w:marLeft w:val="0"/>
      <w:marRight w:val="0"/>
      <w:marTop w:val="0"/>
      <w:marBottom w:val="0"/>
      <w:divBdr>
        <w:top w:val="none" w:sz="0" w:space="0" w:color="auto"/>
        <w:left w:val="none" w:sz="0" w:space="0" w:color="auto"/>
        <w:bottom w:val="none" w:sz="0" w:space="0" w:color="auto"/>
        <w:right w:val="none" w:sz="0" w:space="0" w:color="auto"/>
      </w:divBdr>
    </w:div>
    <w:div w:id="1324502219">
      <w:bodyDiv w:val="1"/>
      <w:marLeft w:val="0"/>
      <w:marRight w:val="0"/>
      <w:marTop w:val="0"/>
      <w:marBottom w:val="0"/>
      <w:divBdr>
        <w:top w:val="none" w:sz="0" w:space="0" w:color="auto"/>
        <w:left w:val="none" w:sz="0" w:space="0" w:color="auto"/>
        <w:bottom w:val="none" w:sz="0" w:space="0" w:color="auto"/>
        <w:right w:val="none" w:sz="0" w:space="0" w:color="auto"/>
      </w:divBdr>
    </w:div>
    <w:div w:id="1342512039">
      <w:bodyDiv w:val="1"/>
      <w:marLeft w:val="0"/>
      <w:marRight w:val="0"/>
      <w:marTop w:val="0"/>
      <w:marBottom w:val="0"/>
      <w:divBdr>
        <w:top w:val="none" w:sz="0" w:space="0" w:color="auto"/>
        <w:left w:val="none" w:sz="0" w:space="0" w:color="auto"/>
        <w:bottom w:val="none" w:sz="0" w:space="0" w:color="auto"/>
        <w:right w:val="none" w:sz="0" w:space="0" w:color="auto"/>
      </w:divBdr>
    </w:div>
    <w:div w:id="1358654209">
      <w:bodyDiv w:val="1"/>
      <w:marLeft w:val="0"/>
      <w:marRight w:val="0"/>
      <w:marTop w:val="0"/>
      <w:marBottom w:val="0"/>
      <w:divBdr>
        <w:top w:val="none" w:sz="0" w:space="0" w:color="auto"/>
        <w:left w:val="none" w:sz="0" w:space="0" w:color="auto"/>
        <w:bottom w:val="none" w:sz="0" w:space="0" w:color="auto"/>
        <w:right w:val="none" w:sz="0" w:space="0" w:color="auto"/>
      </w:divBdr>
    </w:div>
    <w:div w:id="1426921480">
      <w:bodyDiv w:val="1"/>
      <w:marLeft w:val="0"/>
      <w:marRight w:val="0"/>
      <w:marTop w:val="0"/>
      <w:marBottom w:val="0"/>
      <w:divBdr>
        <w:top w:val="none" w:sz="0" w:space="0" w:color="auto"/>
        <w:left w:val="none" w:sz="0" w:space="0" w:color="auto"/>
        <w:bottom w:val="none" w:sz="0" w:space="0" w:color="auto"/>
        <w:right w:val="none" w:sz="0" w:space="0" w:color="auto"/>
      </w:divBdr>
    </w:div>
    <w:div w:id="1433741889">
      <w:bodyDiv w:val="1"/>
      <w:marLeft w:val="0"/>
      <w:marRight w:val="0"/>
      <w:marTop w:val="0"/>
      <w:marBottom w:val="0"/>
      <w:divBdr>
        <w:top w:val="none" w:sz="0" w:space="0" w:color="auto"/>
        <w:left w:val="none" w:sz="0" w:space="0" w:color="auto"/>
        <w:bottom w:val="none" w:sz="0" w:space="0" w:color="auto"/>
        <w:right w:val="none" w:sz="0" w:space="0" w:color="auto"/>
      </w:divBdr>
    </w:div>
    <w:div w:id="1515413960">
      <w:bodyDiv w:val="1"/>
      <w:marLeft w:val="0"/>
      <w:marRight w:val="0"/>
      <w:marTop w:val="0"/>
      <w:marBottom w:val="0"/>
      <w:divBdr>
        <w:top w:val="none" w:sz="0" w:space="0" w:color="auto"/>
        <w:left w:val="none" w:sz="0" w:space="0" w:color="auto"/>
        <w:bottom w:val="none" w:sz="0" w:space="0" w:color="auto"/>
        <w:right w:val="none" w:sz="0" w:space="0" w:color="auto"/>
      </w:divBdr>
    </w:div>
    <w:div w:id="1528758322">
      <w:bodyDiv w:val="1"/>
      <w:marLeft w:val="0"/>
      <w:marRight w:val="0"/>
      <w:marTop w:val="0"/>
      <w:marBottom w:val="0"/>
      <w:divBdr>
        <w:top w:val="none" w:sz="0" w:space="0" w:color="auto"/>
        <w:left w:val="none" w:sz="0" w:space="0" w:color="auto"/>
        <w:bottom w:val="none" w:sz="0" w:space="0" w:color="auto"/>
        <w:right w:val="none" w:sz="0" w:space="0" w:color="auto"/>
      </w:divBdr>
    </w:div>
    <w:div w:id="1548682761">
      <w:bodyDiv w:val="1"/>
      <w:marLeft w:val="0"/>
      <w:marRight w:val="0"/>
      <w:marTop w:val="0"/>
      <w:marBottom w:val="0"/>
      <w:divBdr>
        <w:top w:val="none" w:sz="0" w:space="0" w:color="auto"/>
        <w:left w:val="none" w:sz="0" w:space="0" w:color="auto"/>
        <w:bottom w:val="none" w:sz="0" w:space="0" w:color="auto"/>
        <w:right w:val="none" w:sz="0" w:space="0" w:color="auto"/>
      </w:divBdr>
    </w:div>
    <w:div w:id="1564410050">
      <w:bodyDiv w:val="1"/>
      <w:marLeft w:val="0"/>
      <w:marRight w:val="0"/>
      <w:marTop w:val="0"/>
      <w:marBottom w:val="0"/>
      <w:divBdr>
        <w:top w:val="none" w:sz="0" w:space="0" w:color="auto"/>
        <w:left w:val="none" w:sz="0" w:space="0" w:color="auto"/>
        <w:bottom w:val="none" w:sz="0" w:space="0" w:color="auto"/>
        <w:right w:val="none" w:sz="0" w:space="0" w:color="auto"/>
      </w:divBdr>
    </w:div>
    <w:div w:id="1608853926">
      <w:bodyDiv w:val="1"/>
      <w:marLeft w:val="0"/>
      <w:marRight w:val="0"/>
      <w:marTop w:val="0"/>
      <w:marBottom w:val="0"/>
      <w:divBdr>
        <w:top w:val="none" w:sz="0" w:space="0" w:color="auto"/>
        <w:left w:val="none" w:sz="0" w:space="0" w:color="auto"/>
        <w:bottom w:val="none" w:sz="0" w:space="0" w:color="auto"/>
        <w:right w:val="none" w:sz="0" w:space="0" w:color="auto"/>
      </w:divBdr>
    </w:div>
    <w:div w:id="1624773034">
      <w:bodyDiv w:val="1"/>
      <w:marLeft w:val="0"/>
      <w:marRight w:val="0"/>
      <w:marTop w:val="0"/>
      <w:marBottom w:val="0"/>
      <w:divBdr>
        <w:top w:val="none" w:sz="0" w:space="0" w:color="auto"/>
        <w:left w:val="none" w:sz="0" w:space="0" w:color="auto"/>
        <w:bottom w:val="none" w:sz="0" w:space="0" w:color="auto"/>
        <w:right w:val="none" w:sz="0" w:space="0" w:color="auto"/>
      </w:divBdr>
    </w:div>
    <w:div w:id="1635406054">
      <w:bodyDiv w:val="1"/>
      <w:marLeft w:val="0"/>
      <w:marRight w:val="0"/>
      <w:marTop w:val="0"/>
      <w:marBottom w:val="0"/>
      <w:divBdr>
        <w:top w:val="none" w:sz="0" w:space="0" w:color="auto"/>
        <w:left w:val="none" w:sz="0" w:space="0" w:color="auto"/>
        <w:bottom w:val="none" w:sz="0" w:space="0" w:color="auto"/>
        <w:right w:val="none" w:sz="0" w:space="0" w:color="auto"/>
      </w:divBdr>
    </w:div>
    <w:div w:id="1650746711">
      <w:bodyDiv w:val="1"/>
      <w:marLeft w:val="0"/>
      <w:marRight w:val="0"/>
      <w:marTop w:val="0"/>
      <w:marBottom w:val="0"/>
      <w:divBdr>
        <w:top w:val="none" w:sz="0" w:space="0" w:color="auto"/>
        <w:left w:val="none" w:sz="0" w:space="0" w:color="auto"/>
        <w:bottom w:val="none" w:sz="0" w:space="0" w:color="auto"/>
        <w:right w:val="none" w:sz="0" w:space="0" w:color="auto"/>
      </w:divBdr>
    </w:div>
    <w:div w:id="1655797108">
      <w:bodyDiv w:val="1"/>
      <w:marLeft w:val="0"/>
      <w:marRight w:val="0"/>
      <w:marTop w:val="0"/>
      <w:marBottom w:val="0"/>
      <w:divBdr>
        <w:top w:val="none" w:sz="0" w:space="0" w:color="auto"/>
        <w:left w:val="none" w:sz="0" w:space="0" w:color="auto"/>
        <w:bottom w:val="none" w:sz="0" w:space="0" w:color="auto"/>
        <w:right w:val="none" w:sz="0" w:space="0" w:color="auto"/>
      </w:divBdr>
    </w:div>
    <w:div w:id="1687905817">
      <w:bodyDiv w:val="1"/>
      <w:marLeft w:val="0"/>
      <w:marRight w:val="0"/>
      <w:marTop w:val="0"/>
      <w:marBottom w:val="0"/>
      <w:divBdr>
        <w:top w:val="none" w:sz="0" w:space="0" w:color="auto"/>
        <w:left w:val="none" w:sz="0" w:space="0" w:color="auto"/>
        <w:bottom w:val="none" w:sz="0" w:space="0" w:color="auto"/>
        <w:right w:val="none" w:sz="0" w:space="0" w:color="auto"/>
      </w:divBdr>
    </w:div>
    <w:div w:id="1713574972">
      <w:bodyDiv w:val="1"/>
      <w:marLeft w:val="0"/>
      <w:marRight w:val="0"/>
      <w:marTop w:val="0"/>
      <w:marBottom w:val="0"/>
      <w:divBdr>
        <w:top w:val="none" w:sz="0" w:space="0" w:color="auto"/>
        <w:left w:val="none" w:sz="0" w:space="0" w:color="auto"/>
        <w:bottom w:val="none" w:sz="0" w:space="0" w:color="auto"/>
        <w:right w:val="none" w:sz="0" w:space="0" w:color="auto"/>
      </w:divBdr>
    </w:div>
    <w:div w:id="1732926084">
      <w:bodyDiv w:val="1"/>
      <w:marLeft w:val="0"/>
      <w:marRight w:val="0"/>
      <w:marTop w:val="0"/>
      <w:marBottom w:val="0"/>
      <w:divBdr>
        <w:top w:val="none" w:sz="0" w:space="0" w:color="auto"/>
        <w:left w:val="none" w:sz="0" w:space="0" w:color="auto"/>
        <w:bottom w:val="none" w:sz="0" w:space="0" w:color="auto"/>
        <w:right w:val="none" w:sz="0" w:space="0" w:color="auto"/>
      </w:divBdr>
    </w:div>
    <w:div w:id="1743992155">
      <w:bodyDiv w:val="1"/>
      <w:marLeft w:val="0"/>
      <w:marRight w:val="0"/>
      <w:marTop w:val="0"/>
      <w:marBottom w:val="0"/>
      <w:divBdr>
        <w:top w:val="none" w:sz="0" w:space="0" w:color="auto"/>
        <w:left w:val="none" w:sz="0" w:space="0" w:color="auto"/>
        <w:bottom w:val="none" w:sz="0" w:space="0" w:color="auto"/>
        <w:right w:val="none" w:sz="0" w:space="0" w:color="auto"/>
      </w:divBdr>
    </w:div>
    <w:div w:id="1757022112">
      <w:bodyDiv w:val="1"/>
      <w:marLeft w:val="0"/>
      <w:marRight w:val="0"/>
      <w:marTop w:val="0"/>
      <w:marBottom w:val="0"/>
      <w:divBdr>
        <w:top w:val="none" w:sz="0" w:space="0" w:color="auto"/>
        <w:left w:val="none" w:sz="0" w:space="0" w:color="auto"/>
        <w:bottom w:val="none" w:sz="0" w:space="0" w:color="auto"/>
        <w:right w:val="none" w:sz="0" w:space="0" w:color="auto"/>
      </w:divBdr>
    </w:div>
    <w:div w:id="1759519931">
      <w:bodyDiv w:val="1"/>
      <w:marLeft w:val="0"/>
      <w:marRight w:val="0"/>
      <w:marTop w:val="0"/>
      <w:marBottom w:val="0"/>
      <w:divBdr>
        <w:top w:val="none" w:sz="0" w:space="0" w:color="auto"/>
        <w:left w:val="none" w:sz="0" w:space="0" w:color="auto"/>
        <w:bottom w:val="none" w:sz="0" w:space="0" w:color="auto"/>
        <w:right w:val="none" w:sz="0" w:space="0" w:color="auto"/>
      </w:divBdr>
    </w:div>
    <w:div w:id="1849640797">
      <w:bodyDiv w:val="1"/>
      <w:marLeft w:val="0"/>
      <w:marRight w:val="0"/>
      <w:marTop w:val="0"/>
      <w:marBottom w:val="0"/>
      <w:divBdr>
        <w:top w:val="none" w:sz="0" w:space="0" w:color="auto"/>
        <w:left w:val="none" w:sz="0" w:space="0" w:color="auto"/>
        <w:bottom w:val="none" w:sz="0" w:space="0" w:color="auto"/>
        <w:right w:val="none" w:sz="0" w:space="0" w:color="auto"/>
      </w:divBdr>
    </w:div>
    <w:div w:id="1854803142">
      <w:bodyDiv w:val="1"/>
      <w:marLeft w:val="0"/>
      <w:marRight w:val="0"/>
      <w:marTop w:val="0"/>
      <w:marBottom w:val="0"/>
      <w:divBdr>
        <w:top w:val="none" w:sz="0" w:space="0" w:color="auto"/>
        <w:left w:val="none" w:sz="0" w:space="0" w:color="auto"/>
        <w:bottom w:val="none" w:sz="0" w:space="0" w:color="auto"/>
        <w:right w:val="none" w:sz="0" w:space="0" w:color="auto"/>
      </w:divBdr>
    </w:div>
    <w:div w:id="1867981696">
      <w:bodyDiv w:val="1"/>
      <w:marLeft w:val="0"/>
      <w:marRight w:val="0"/>
      <w:marTop w:val="0"/>
      <w:marBottom w:val="0"/>
      <w:divBdr>
        <w:top w:val="none" w:sz="0" w:space="0" w:color="auto"/>
        <w:left w:val="none" w:sz="0" w:space="0" w:color="auto"/>
        <w:bottom w:val="none" w:sz="0" w:space="0" w:color="auto"/>
        <w:right w:val="none" w:sz="0" w:space="0" w:color="auto"/>
      </w:divBdr>
    </w:div>
    <w:div w:id="1870609266">
      <w:bodyDiv w:val="1"/>
      <w:marLeft w:val="0"/>
      <w:marRight w:val="0"/>
      <w:marTop w:val="0"/>
      <w:marBottom w:val="0"/>
      <w:divBdr>
        <w:top w:val="none" w:sz="0" w:space="0" w:color="auto"/>
        <w:left w:val="none" w:sz="0" w:space="0" w:color="auto"/>
        <w:bottom w:val="none" w:sz="0" w:space="0" w:color="auto"/>
        <w:right w:val="none" w:sz="0" w:space="0" w:color="auto"/>
      </w:divBdr>
    </w:div>
    <w:div w:id="1873299165">
      <w:bodyDiv w:val="1"/>
      <w:marLeft w:val="0"/>
      <w:marRight w:val="0"/>
      <w:marTop w:val="0"/>
      <w:marBottom w:val="0"/>
      <w:divBdr>
        <w:top w:val="none" w:sz="0" w:space="0" w:color="auto"/>
        <w:left w:val="none" w:sz="0" w:space="0" w:color="auto"/>
        <w:bottom w:val="none" w:sz="0" w:space="0" w:color="auto"/>
        <w:right w:val="none" w:sz="0" w:space="0" w:color="auto"/>
      </w:divBdr>
    </w:div>
    <w:div w:id="1884246773">
      <w:bodyDiv w:val="1"/>
      <w:marLeft w:val="0"/>
      <w:marRight w:val="0"/>
      <w:marTop w:val="0"/>
      <w:marBottom w:val="0"/>
      <w:divBdr>
        <w:top w:val="none" w:sz="0" w:space="0" w:color="auto"/>
        <w:left w:val="none" w:sz="0" w:space="0" w:color="auto"/>
        <w:bottom w:val="none" w:sz="0" w:space="0" w:color="auto"/>
        <w:right w:val="none" w:sz="0" w:space="0" w:color="auto"/>
      </w:divBdr>
    </w:div>
    <w:div w:id="1909264160">
      <w:bodyDiv w:val="1"/>
      <w:marLeft w:val="0"/>
      <w:marRight w:val="0"/>
      <w:marTop w:val="0"/>
      <w:marBottom w:val="0"/>
      <w:divBdr>
        <w:top w:val="none" w:sz="0" w:space="0" w:color="auto"/>
        <w:left w:val="none" w:sz="0" w:space="0" w:color="auto"/>
        <w:bottom w:val="none" w:sz="0" w:space="0" w:color="auto"/>
        <w:right w:val="none" w:sz="0" w:space="0" w:color="auto"/>
      </w:divBdr>
    </w:div>
    <w:div w:id="1995837230">
      <w:bodyDiv w:val="1"/>
      <w:marLeft w:val="0"/>
      <w:marRight w:val="0"/>
      <w:marTop w:val="0"/>
      <w:marBottom w:val="0"/>
      <w:divBdr>
        <w:top w:val="none" w:sz="0" w:space="0" w:color="auto"/>
        <w:left w:val="none" w:sz="0" w:space="0" w:color="auto"/>
        <w:bottom w:val="none" w:sz="0" w:space="0" w:color="auto"/>
        <w:right w:val="none" w:sz="0" w:space="0" w:color="auto"/>
      </w:divBdr>
    </w:div>
    <w:div w:id="2005159631">
      <w:bodyDiv w:val="1"/>
      <w:marLeft w:val="0"/>
      <w:marRight w:val="0"/>
      <w:marTop w:val="0"/>
      <w:marBottom w:val="0"/>
      <w:divBdr>
        <w:top w:val="none" w:sz="0" w:space="0" w:color="auto"/>
        <w:left w:val="none" w:sz="0" w:space="0" w:color="auto"/>
        <w:bottom w:val="none" w:sz="0" w:space="0" w:color="auto"/>
        <w:right w:val="none" w:sz="0" w:space="0" w:color="auto"/>
      </w:divBdr>
    </w:div>
    <w:div w:id="2009866613">
      <w:bodyDiv w:val="1"/>
      <w:marLeft w:val="0"/>
      <w:marRight w:val="0"/>
      <w:marTop w:val="0"/>
      <w:marBottom w:val="0"/>
      <w:divBdr>
        <w:top w:val="none" w:sz="0" w:space="0" w:color="auto"/>
        <w:left w:val="none" w:sz="0" w:space="0" w:color="auto"/>
        <w:bottom w:val="none" w:sz="0" w:space="0" w:color="auto"/>
        <w:right w:val="none" w:sz="0" w:space="0" w:color="auto"/>
      </w:divBdr>
    </w:div>
    <w:div w:id="2044404203">
      <w:bodyDiv w:val="1"/>
      <w:marLeft w:val="0"/>
      <w:marRight w:val="0"/>
      <w:marTop w:val="0"/>
      <w:marBottom w:val="0"/>
      <w:divBdr>
        <w:top w:val="none" w:sz="0" w:space="0" w:color="auto"/>
        <w:left w:val="none" w:sz="0" w:space="0" w:color="auto"/>
        <w:bottom w:val="none" w:sz="0" w:space="0" w:color="auto"/>
        <w:right w:val="none" w:sz="0" w:space="0" w:color="auto"/>
      </w:divBdr>
    </w:div>
    <w:div w:id="2065136351">
      <w:bodyDiv w:val="1"/>
      <w:marLeft w:val="0"/>
      <w:marRight w:val="0"/>
      <w:marTop w:val="0"/>
      <w:marBottom w:val="0"/>
      <w:divBdr>
        <w:top w:val="none" w:sz="0" w:space="0" w:color="auto"/>
        <w:left w:val="none" w:sz="0" w:space="0" w:color="auto"/>
        <w:bottom w:val="none" w:sz="0" w:space="0" w:color="auto"/>
        <w:right w:val="none" w:sz="0" w:space="0" w:color="auto"/>
      </w:divBdr>
    </w:div>
    <w:div w:id="2087073351">
      <w:bodyDiv w:val="1"/>
      <w:marLeft w:val="0"/>
      <w:marRight w:val="0"/>
      <w:marTop w:val="0"/>
      <w:marBottom w:val="0"/>
      <w:divBdr>
        <w:top w:val="none" w:sz="0" w:space="0" w:color="auto"/>
        <w:left w:val="none" w:sz="0" w:space="0" w:color="auto"/>
        <w:bottom w:val="none" w:sz="0" w:space="0" w:color="auto"/>
        <w:right w:val="none" w:sz="0" w:space="0" w:color="auto"/>
      </w:divBdr>
    </w:div>
    <w:div w:id="2087917507">
      <w:bodyDiv w:val="1"/>
      <w:marLeft w:val="0"/>
      <w:marRight w:val="0"/>
      <w:marTop w:val="0"/>
      <w:marBottom w:val="0"/>
      <w:divBdr>
        <w:top w:val="none" w:sz="0" w:space="0" w:color="auto"/>
        <w:left w:val="none" w:sz="0" w:space="0" w:color="auto"/>
        <w:bottom w:val="none" w:sz="0" w:space="0" w:color="auto"/>
        <w:right w:val="none" w:sz="0" w:space="0" w:color="auto"/>
      </w:divBdr>
    </w:div>
    <w:div w:id="210726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CF3D21C51022B409C49503486ECC996" ma:contentTypeVersion="9" ma:contentTypeDescription="Crear nuevo documento." ma:contentTypeScope="" ma:versionID="93a5bb980508b48e92de7d09ce89a566">
  <xsd:schema xmlns:xsd="http://www.w3.org/2001/XMLSchema" xmlns:xs="http://www.w3.org/2001/XMLSchema" xmlns:p="http://schemas.microsoft.com/office/2006/metadata/properties" xmlns:ns2="966e0af8-eb04-4871-9ba3-4bac4d7ba408" xmlns:ns3="28489dc2-50cf-493e-a704-cb1420394a7d" targetNamespace="http://schemas.microsoft.com/office/2006/metadata/properties" ma:root="true" ma:fieldsID="f0619acb96b115c2682259f96dd011e0" ns2:_="" ns3:_="">
    <xsd:import namespace="966e0af8-eb04-4871-9ba3-4bac4d7ba408"/>
    <xsd:import namespace="28489dc2-50cf-493e-a704-cb1420394a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0af8-eb04-4871-9ba3-4bac4d7ba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489dc2-50cf-493e-a704-cb1420394a7d"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MLA.XSL" StyleName="ML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273F30-D438-4BE3-BE8A-ECA6B2E47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0af8-eb04-4871-9ba3-4bac4d7ba408"/>
    <ds:schemaRef ds:uri="28489dc2-50cf-493e-a704-cb1420394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07B15A-37FB-4298-B859-82927D16FBBF}">
  <ds:schemaRefs>
    <ds:schemaRef ds:uri="http://schemas.openxmlformats.org/officeDocument/2006/bibliography"/>
  </ds:schemaRefs>
</ds:datastoreItem>
</file>

<file path=customXml/itemProps3.xml><?xml version="1.0" encoding="utf-8"?>
<ds:datastoreItem xmlns:ds="http://schemas.openxmlformats.org/officeDocument/2006/customXml" ds:itemID="{8BC290D8-D9F1-4E11-AEE4-D3E76935A60E}">
  <ds:schemaRefs>
    <ds:schemaRef ds:uri="http://schemas.microsoft.com/sharepoint/v3/contenttype/forms"/>
  </ds:schemaRefs>
</ds:datastoreItem>
</file>

<file path=customXml/itemProps4.xml><?xml version="1.0" encoding="utf-8"?>
<ds:datastoreItem xmlns:ds="http://schemas.openxmlformats.org/officeDocument/2006/customXml" ds:itemID="{5ADE4767-C09F-4471-BDFE-6003049F2A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4753</Words>
  <Characters>26147</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GOBIERNO CENTRAL DE LA REPÚBLICA  DOMINICANA</vt:lpstr>
    </vt:vector>
  </TitlesOfParts>
  <Company>Digecog</Company>
  <LinksUpToDate>false</LinksUpToDate>
  <CharactersWithSpaces>30839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CENTRAL DE LA REPÚBLICA  DOMINICANA</dc:title>
  <dc:creator>ddejesus</dc:creator>
  <cp:lastModifiedBy>Graciela Herrera</cp:lastModifiedBy>
  <cp:revision>2</cp:revision>
  <cp:lastPrinted>2022-01-12T15:02:00Z</cp:lastPrinted>
  <dcterms:created xsi:type="dcterms:W3CDTF">2023-01-16T13:42:00Z</dcterms:created>
  <dcterms:modified xsi:type="dcterms:W3CDTF">2023-01-16T13:42:00Z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0x0101000CF3D21C51022B409C49503486ECC996</vt:lpwstr>
  </property>
  <property fmtid="{D5CDD505-2E9C-101B-9397-08002B2CF9AE}" pid="3" name="Order">
    <vt:r8>2626200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